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5848"/>
      </w:tblGrid>
      <w:tr w:rsidR="00D54C09" w:rsidRPr="000101FA" w14:paraId="4A58B122" w14:textId="77777777" w:rsidTr="002A6297">
        <w:trPr>
          <w:trHeight w:val="504"/>
        </w:trPr>
        <w:tc>
          <w:tcPr>
            <w:tcW w:w="3062" w:type="dxa"/>
            <w:hideMark/>
          </w:tcPr>
          <w:p w14:paraId="553B470D" w14:textId="7477E831" w:rsidR="00F15C29" w:rsidRPr="000101FA" w:rsidRDefault="005E2B1A" w:rsidP="6F90D69E">
            <w:pPr>
              <w:tabs>
                <w:tab w:val="left" w:pos="7479"/>
              </w:tabs>
              <w:jc w:val="both"/>
              <w:rPr>
                <w:rFonts w:ascii="Garamond" w:eastAsia="Garamond" w:hAnsi="Garamond" w:cs="Garamond"/>
                <w:color w:val="000000" w:themeColor="text1"/>
                <w:sz w:val="24"/>
                <w:szCs w:val="24"/>
              </w:rPr>
            </w:pPr>
            <w:r w:rsidRPr="000101FA">
              <w:rPr>
                <w:rFonts w:ascii="Garamond" w:hAnsi="Garamond"/>
                <w:noProof/>
                <w:color w:val="000000" w:themeColor="text1"/>
                <w:sz w:val="24"/>
                <w:szCs w:val="24"/>
              </w:rPr>
              <w:drawing>
                <wp:inline distT="0" distB="0" distL="0" distR="0" wp14:anchorId="371396DD" wp14:editId="45D9CA97">
                  <wp:extent cx="1488379" cy="545910"/>
                  <wp:effectExtent l="0" t="0" r="0" b="6985"/>
                  <wp:docPr id="18896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379" cy="545910"/>
                          </a:xfrm>
                          <a:prstGeom prst="rect">
                            <a:avLst/>
                          </a:prstGeom>
                        </pic:spPr>
                      </pic:pic>
                    </a:graphicData>
                  </a:graphic>
                </wp:inline>
              </w:drawing>
            </w:r>
          </w:p>
        </w:tc>
        <w:tc>
          <w:tcPr>
            <w:tcW w:w="5848" w:type="dxa"/>
            <w:hideMark/>
          </w:tcPr>
          <w:p w14:paraId="5E219B89" w14:textId="44144E47" w:rsidR="00F15C29" w:rsidRPr="000101FA" w:rsidRDefault="00C07C2D" w:rsidP="6F90D69E">
            <w:pPr>
              <w:tabs>
                <w:tab w:val="left" w:pos="7479"/>
              </w:tabs>
              <w:ind w:firstLine="2"/>
              <w:jc w:val="right"/>
              <w:rPr>
                <w:rFonts w:ascii="Garamond" w:eastAsia="Garamond" w:hAnsi="Garamond" w:cs="Garamond"/>
                <w:color w:val="000000" w:themeColor="text1"/>
                <w:sz w:val="24"/>
                <w:szCs w:val="24"/>
              </w:rPr>
            </w:pPr>
            <w:r w:rsidRPr="000101FA">
              <w:rPr>
                <w:rFonts w:ascii="Garamond" w:hAnsi="Garamond"/>
                <w:noProof/>
                <w:color w:val="000000" w:themeColor="text1"/>
                <w:sz w:val="24"/>
                <w:szCs w:val="24"/>
              </w:rPr>
              <w:drawing>
                <wp:inline distT="0" distB="0" distL="0" distR="0" wp14:anchorId="5A0BCACA" wp14:editId="474F29C3">
                  <wp:extent cx="670720" cy="54546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22580"/>
                          <a:stretch/>
                        </pic:blipFill>
                        <pic:spPr bwMode="auto">
                          <a:xfrm>
                            <a:off x="0" y="0"/>
                            <a:ext cx="677070" cy="5506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AE0AF5" w14:textId="77777777" w:rsidR="008A6618" w:rsidRPr="001138CF" w:rsidRDefault="008A6618" w:rsidP="001138CF">
      <w:pPr>
        <w:spacing w:after="0" w:line="240" w:lineRule="auto"/>
        <w:jc w:val="center"/>
        <w:rPr>
          <w:rFonts w:ascii="Garamond" w:hAnsi="Garamond"/>
          <w:b/>
          <w:bCs/>
          <w:sz w:val="32"/>
          <w:szCs w:val="32"/>
        </w:rPr>
      </w:pPr>
      <w:r w:rsidRPr="001138CF">
        <w:rPr>
          <w:rFonts w:ascii="Garamond" w:hAnsi="Garamond"/>
          <w:b/>
          <w:bCs/>
          <w:sz w:val="32"/>
          <w:szCs w:val="32"/>
        </w:rPr>
        <w:t>Reuse of Ablution Water for Landscaping in Hayatabad Peshawar - A Step Towards Climate Change Adaptation</w:t>
      </w:r>
    </w:p>
    <w:p w14:paraId="185A4D12" w14:textId="77777777" w:rsidR="008A6618" w:rsidRPr="00AE5F42" w:rsidRDefault="008A6618" w:rsidP="00D36B80">
      <w:pPr>
        <w:tabs>
          <w:tab w:val="left" w:pos="6760"/>
        </w:tabs>
        <w:spacing w:after="0" w:line="240" w:lineRule="auto"/>
        <w:jc w:val="both"/>
        <w:rPr>
          <w:rFonts w:ascii="Garamond" w:hAnsi="Garamond" w:cstheme="minorHAnsi"/>
          <w:sz w:val="24"/>
          <w:szCs w:val="24"/>
        </w:rPr>
      </w:pPr>
      <w:r w:rsidRPr="00AE5F42">
        <w:rPr>
          <w:rFonts w:ascii="Garamond" w:hAnsi="Garamond" w:cstheme="minorHAnsi"/>
          <w:sz w:val="24"/>
          <w:szCs w:val="24"/>
        </w:rPr>
        <w:t>Muhammad Umer Farooq Shah</w:t>
      </w:r>
      <w:r w:rsidRPr="00AE5F42">
        <w:rPr>
          <w:rFonts w:ascii="Garamond" w:hAnsi="Garamond" w:cstheme="minorHAnsi"/>
          <w:sz w:val="24"/>
          <w:szCs w:val="24"/>
          <w:vertAlign w:val="superscript"/>
        </w:rPr>
        <w:t xml:space="preserve"> 1</w:t>
      </w:r>
      <w:r w:rsidRPr="00AE5F42">
        <w:rPr>
          <w:rFonts w:ascii="Garamond" w:hAnsi="Garamond" w:cstheme="minorHAnsi"/>
          <w:sz w:val="24"/>
          <w:szCs w:val="24"/>
        </w:rPr>
        <w:t>, Fayaz Ahmad Khan</w:t>
      </w:r>
      <w:r w:rsidRPr="00AE5F42">
        <w:rPr>
          <w:rFonts w:ascii="Garamond" w:hAnsi="Garamond" w:cstheme="minorHAnsi"/>
          <w:sz w:val="24"/>
          <w:szCs w:val="24"/>
          <w:vertAlign w:val="superscript"/>
        </w:rPr>
        <w:t>1</w:t>
      </w:r>
      <w:r w:rsidRPr="00AE5F42">
        <w:rPr>
          <w:rFonts w:ascii="Garamond" w:hAnsi="Garamond" w:cstheme="minorHAnsi"/>
          <w:sz w:val="24"/>
          <w:szCs w:val="24"/>
        </w:rPr>
        <w:t xml:space="preserve">, </w:t>
      </w:r>
      <w:proofErr w:type="spellStart"/>
      <w:r w:rsidRPr="00AE5F42">
        <w:rPr>
          <w:rFonts w:ascii="Garamond" w:hAnsi="Garamond" w:cstheme="minorHAnsi"/>
          <w:sz w:val="24"/>
          <w:szCs w:val="24"/>
        </w:rPr>
        <w:t>Afed</w:t>
      </w:r>
      <w:proofErr w:type="spellEnd"/>
      <w:r w:rsidRPr="00AE5F42">
        <w:rPr>
          <w:rFonts w:ascii="Garamond" w:hAnsi="Garamond" w:cstheme="minorHAnsi"/>
          <w:sz w:val="24"/>
          <w:szCs w:val="24"/>
        </w:rPr>
        <w:t xml:space="preserve"> Ullah Khan</w:t>
      </w:r>
      <w:r w:rsidRPr="00AE5F42">
        <w:rPr>
          <w:rFonts w:ascii="Garamond" w:hAnsi="Garamond" w:cstheme="minorHAnsi"/>
          <w:sz w:val="24"/>
          <w:szCs w:val="24"/>
          <w:vertAlign w:val="superscript"/>
        </w:rPr>
        <w:t>2</w:t>
      </w:r>
      <w:r w:rsidRPr="00AE5F42">
        <w:rPr>
          <w:rFonts w:ascii="Garamond" w:hAnsi="Garamond" w:cstheme="minorHAnsi"/>
          <w:sz w:val="24"/>
          <w:szCs w:val="24"/>
        </w:rPr>
        <w:t>, Saqib Mahmood</w:t>
      </w:r>
      <w:r w:rsidRPr="00AE5F42">
        <w:rPr>
          <w:rFonts w:ascii="Garamond" w:hAnsi="Garamond" w:cstheme="minorHAnsi"/>
          <w:sz w:val="24"/>
          <w:szCs w:val="24"/>
          <w:vertAlign w:val="superscript"/>
        </w:rPr>
        <w:t>2</w:t>
      </w:r>
    </w:p>
    <w:p w14:paraId="5B4B6DB3" w14:textId="77777777" w:rsidR="008A6618" w:rsidRPr="00AE5F42" w:rsidRDefault="008A6618" w:rsidP="00D36B80">
      <w:pPr>
        <w:spacing w:after="0" w:line="240" w:lineRule="auto"/>
        <w:jc w:val="both"/>
        <w:rPr>
          <w:rFonts w:ascii="Garamond" w:hAnsi="Garamond" w:cstheme="minorHAnsi"/>
          <w:sz w:val="24"/>
          <w:szCs w:val="24"/>
        </w:rPr>
      </w:pPr>
      <w:r w:rsidRPr="00AE5F42">
        <w:rPr>
          <w:rFonts w:ascii="Garamond" w:hAnsi="Garamond" w:cstheme="minorHAnsi"/>
          <w:sz w:val="24"/>
          <w:szCs w:val="24"/>
          <w:vertAlign w:val="superscript"/>
        </w:rPr>
        <w:t>1</w:t>
      </w:r>
      <w:r w:rsidRPr="00AE5F42">
        <w:rPr>
          <w:rFonts w:ascii="Garamond" w:hAnsi="Garamond" w:cstheme="minorHAnsi"/>
          <w:sz w:val="24"/>
          <w:szCs w:val="24"/>
        </w:rPr>
        <w:t>National institute of urban infrastructure planning, University of Engineering and Technology Peshawar, 2500, Pakistan</w:t>
      </w:r>
    </w:p>
    <w:p w14:paraId="77BC54C6" w14:textId="77777777" w:rsidR="008A6618" w:rsidRPr="00AE5F42" w:rsidRDefault="008A6618" w:rsidP="00D36B80">
      <w:pPr>
        <w:spacing w:after="0" w:line="240" w:lineRule="auto"/>
        <w:jc w:val="both"/>
        <w:rPr>
          <w:rFonts w:ascii="Garamond" w:hAnsi="Garamond" w:cstheme="minorHAnsi"/>
          <w:sz w:val="24"/>
          <w:szCs w:val="24"/>
        </w:rPr>
      </w:pPr>
      <w:r w:rsidRPr="00AE5F42">
        <w:rPr>
          <w:rFonts w:ascii="Garamond" w:hAnsi="Garamond" w:cstheme="minorHAnsi"/>
          <w:sz w:val="24"/>
          <w:szCs w:val="24"/>
          <w:vertAlign w:val="superscript"/>
        </w:rPr>
        <w:t>2</w:t>
      </w:r>
      <w:r w:rsidRPr="00AE5F42">
        <w:rPr>
          <w:rFonts w:ascii="Garamond" w:hAnsi="Garamond" w:cstheme="minorHAnsi"/>
          <w:sz w:val="24"/>
          <w:szCs w:val="24"/>
        </w:rPr>
        <w:t>Department of Civil Engineering, Campus III-Bannu, University of Engineering and Technology Peshawar, Bannu 28100, Pakistan</w:t>
      </w:r>
    </w:p>
    <w:p w14:paraId="4745FE24" w14:textId="6BABAE8A" w:rsidR="00EC7995" w:rsidRPr="00EC7995" w:rsidRDefault="00413231" w:rsidP="00D36B80">
      <w:pPr>
        <w:spacing w:after="0" w:line="240" w:lineRule="auto"/>
        <w:jc w:val="both"/>
        <w:rPr>
          <w:rFonts w:ascii="Garamond" w:hAnsi="Garamond" w:cstheme="minorHAnsi"/>
          <w:sz w:val="24"/>
          <w:szCs w:val="24"/>
        </w:rPr>
      </w:pPr>
      <w:r w:rsidRPr="000101FA">
        <w:rPr>
          <w:rFonts w:ascii="Garamond" w:hAnsi="Garamond"/>
          <w:sz w:val="24"/>
          <w:szCs w:val="24"/>
        </w:rPr>
        <w:t>*</w:t>
      </w:r>
      <w:r w:rsidRPr="000101FA">
        <w:rPr>
          <w:rFonts w:ascii="Garamond" w:hAnsi="Garamond"/>
          <w:b/>
          <w:bCs/>
          <w:sz w:val="24"/>
          <w:szCs w:val="24"/>
        </w:rPr>
        <w:t>Correspondence</w:t>
      </w:r>
      <w:r w:rsidRPr="000101FA">
        <w:rPr>
          <w:rFonts w:ascii="Garamond" w:hAnsi="Garamond"/>
          <w:sz w:val="24"/>
          <w:szCs w:val="24"/>
        </w:rPr>
        <w:t>:</w:t>
      </w:r>
      <w:r w:rsidR="00EC7995" w:rsidRPr="00EC7995">
        <w:rPr>
          <w:rFonts w:ascii="Garamond" w:hAnsi="Garamond" w:cstheme="minorHAnsi"/>
          <w:sz w:val="24"/>
          <w:szCs w:val="24"/>
        </w:rPr>
        <w:t xml:space="preserve"> </w:t>
      </w:r>
      <w:hyperlink r:id="rId10" w:history="1">
        <w:r w:rsidR="00EC7995" w:rsidRPr="009579DD">
          <w:rPr>
            <w:rStyle w:val="Hyperlink"/>
            <w:rFonts w:ascii="Garamond" w:hAnsi="Garamond" w:cstheme="minorHAnsi"/>
            <w:sz w:val="24"/>
            <w:szCs w:val="24"/>
          </w:rPr>
          <w:t>afedullah@uetpeshawar.edu.pk</w:t>
        </w:r>
      </w:hyperlink>
    </w:p>
    <w:p w14:paraId="292488AB" w14:textId="559FF92C" w:rsidR="00F15C29" w:rsidRPr="00A7317B" w:rsidRDefault="00F15C29" w:rsidP="00D36B80">
      <w:pPr>
        <w:spacing w:after="0" w:line="240" w:lineRule="auto"/>
        <w:jc w:val="both"/>
        <w:rPr>
          <w:rFonts w:ascii="Garamond" w:hAnsi="Garamond"/>
          <w:sz w:val="24"/>
          <w:szCs w:val="24"/>
        </w:rPr>
      </w:pPr>
      <w:r w:rsidRPr="009E44FA">
        <w:rPr>
          <w:rFonts w:ascii="Garamond" w:eastAsia="Garamond" w:hAnsi="Garamond" w:cs="Garamond"/>
          <w:b/>
          <w:bCs/>
          <w:color w:val="000000" w:themeColor="text1"/>
        </w:rPr>
        <w:t>Citation</w:t>
      </w:r>
      <w:r w:rsidRPr="009E44FA">
        <w:rPr>
          <w:rFonts w:ascii="Garamond" w:eastAsia="Garamond" w:hAnsi="Garamond" w:cs="Garamond"/>
          <w:color w:val="000000" w:themeColor="text1"/>
          <w:w w:val="220"/>
        </w:rPr>
        <w:t>|</w:t>
      </w:r>
      <w:r w:rsidR="00EE5DAB" w:rsidRPr="009E44FA">
        <w:rPr>
          <w:rFonts w:ascii="Garamond" w:eastAsia="Garamond" w:hAnsi="Garamond" w:cs="Garamond"/>
          <w:color w:val="000000" w:themeColor="text1"/>
          <w:shd w:val="clear" w:color="auto" w:fill="FFFFFF"/>
        </w:rPr>
        <w:t xml:space="preserve"> </w:t>
      </w:r>
      <w:r w:rsidR="001138CF" w:rsidRPr="009E44FA">
        <w:rPr>
          <w:rFonts w:ascii="Garamond" w:eastAsia="Garamond" w:hAnsi="Garamond" w:cs="Garamond"/>
          <w:color w:val="000000" w:themeColor="text1"/>
          <w:shd w:val="clear" w:color="auto" w:fill="FFFFFF"/>
        </w:rPr>
        <w:t>Shah</w:t>
      </w:r>
      <w:r w:rsidR="00413231" w:rsidRPr="009E44FA">
        <w:rPr>
          <w:rFonts w:ascii="Garamond" w:eastAsia="Garamond" w:hAnsi="Garamond" w:cs="Garamond"/>
          <w:color w:val="000000" w:themeColor="text1"/>
          <w:shd w:val="clear" w:color="auto" w:fill="FFFFFF"/>
        </w:rPr>
        <w:t xml:space="preserve">. </w:t>
      </w:r>
      <w:r w:rsidR="001138CF" w:rsidRPr="009E44FA">
        <w:rPr>
          <w:rFonts w:ascii="Garamond" w:eastAsia="Garamond" w:hAnsi="Garamond" w:cs="Garamond"/>
          <w:color w:val="000000" w:themeColor="text1"/>
          <w:shd w:val="clear" w:color="auto" w:fill="FFFFFF"/>
        </w:rPr>
        <w:t>M</w:t>
      </w:r>
      <w:r w:rsidR="00413231" w:rsidRPr="009E44FA">
        <w:rPr>
          <w:rFonts w:ascii="Garamond" w:eastAsia="Garamond" w:hAnsi="Garamond" w:cs="Garamond"/>
          <w:color w:val="000000" w:themeColor="text1"/>
          <w:shd w:val="clear" w:color="auto" w:fill="FFFFFF"/>
        </w:rPr>
        <w:t xml:space="preserve">. </w:t>
      </w:r>
      <w:r w:rsidR="001138CF" w:rsidRPr="009E44FA">
        <w:rPr>
          <w:rFonts w:ascii="Garamond" w:eastAsia="Garamond" w:hAnsi="Garamond" w:cs="Garamond"/>
          <w:color w:val="000000" w:themeColor="text1"/>
          <w:shd w:val="clear" w:color="auto" w:fill="FFFFFF"/>
        </w:rPr>
        <w:t>U. F</w:t>
      </w:r>
      <w:r w:rsidR="00413231" w:rsidRPr="009E44FA">
        <w:rPr>
          <w:rFonts w:ascii="Garamond" w:eastAsia="Garamond" w:hAnsi="Garamond" w:cs="Garamond"/>
          <w:color w:val="000000" w:themeColor="text1"/>
          <w:shd w:val="clear" w:color="auto" w:fill="FFFFFF"/>
        </w:rPr>
        <w:t xml:space="preserve">, </w:t>
      </w:r>
      <w:r w:rsidR="004F68F2" w:rsidRPr="009E44FA">
        <w:rPr>
          <w:rFonts w:ascii="Garamond" w:eastAsia="Garamond" w:hAnsi="Garamond" w:cs="Garamond"/>
          <w:color w:val="000000" w:themeColor="text1"/>
          <w:shd w:val="clear" w:color="auto" w:fill="FFFFFF"/>
        </w:rPr>
        <w:t>Khan</w:t>
      </w:r>
      <w:r w:rsidR="00413231" w:rsidRPr="009E44FA">
        <w:rPr>
          <w:rFonts w:ascii="Garamond" w:eastAsia="Garamond" w:hAnsi="Garamond" w:cs="Garamond"/>
          <w:color w:val="000000" w:themeColor="text1"/>
          <w:shd w:val="clear" w:color="auto" w:fill="FFFFFF"/>
        </w:rPr>
        <w:t xml:space="preserve">. </w:t>
      </w:r>
      <w:r w:rsidR="004F68F2" w:rsidRPr="009E44FA">
        <w:rPr>
          <w:rFonts w:ascii="Garamond" w:eastAsia="Garamond" w:hAnsi="Garamond" w:cs="Garamond"/>
          <w:color w:val="000000" w:themeColor="text1"/>
          <w:shd w:val="clear" w:color="auto" w:fill="FFFFFF"/>
        </w:rPr>
        <w:t>F</w:t>
      </w:r>
      <w:r w:rsidR="00413231" w:rsidRPr="009E44FA">
        <w:rPr>
          <w:rFonts w:ascii="Garamond" w:eastAsia="Garamond" w:hAnsi="Garamond" w:cs="Garamond"/>
          <w:color w:val="000000" w:themeColor="text1"/>
          <w:shd w:val="clear" w:color="auto" w:fill="FFFFFF"/>
        </w:rPr>
        <w:t xml:space="preserve">. </w:t>
      </w:r>
      <w:r w:rsidR="004F68F2" w:rsidRPr="009E44FA">
        <w:rPr>
          <w:rFonts w:ascii="Garamond" w:eastAsia="Garamond" w:hAnsi="Garamond" w:cs="Garamond"/>
          <w:color w:val="000000" w:themeColor="text1"/>
          <w:shd w:val="clear" w:color="auto" w:fill="FFFFFF"/>
        </w:rPr>
        <w:t>A</w:t>
      </w:r>
      <w:r w:rsidR="00413231" w:rsidRPr="009E44FA">
        <w:rPr>
          <w:rFonts w:ascii="Garamond" w:eastAsia="Garamond" w:hAnsi="Garamond" w:cs="Garamond"/>
          <w:color w:val="000000" w:themeColor="text1"/>
          <w:shd w:val="clear" w:color="auto" w:fill="FFFFFF"/>
        </w:rPr>
        <w:t xml:space="preserve">, Khan. </w:t>
      </w:r>
      <w:r w:rsidR="00632895" w:rsidRPr="009E44FA">
        <w:rPr>
          <w:rFonts w:ascii="Garamond" w:eastAsia="Garamond" w:hAnsi="Garamond" w:cs="Garamond"/>
          <w:color w:val="000000" w:themeColor="text1"/>
          <w:shd w:val="clear" w:color="auto" w:fill="FFFFFF"/>
        </w:rPr>
        <w:t>A</w:t>
      </w:r>
      <w:r w:rsidR="00413231" w:rsidRPr="009E44FA">
        <w:rPr>
          <w:rFonts w:ascii="Garamond" w:eastAsia="Garamond" w:hAnsi="Garamond" w:cs="Garamond"/>
          <w:color w:val="000000" w:themeColor="text1"/>
          <w:shd w:val="clear" w:color="auto" w:fill="FFFFFF"/>
        </w:rPr>
        <w:t xml:space="preserve">. </w:t>
      </w:r>
      <w:r w:rsidR="00632895" w:rsidRPr="009E44FA">
        <w:rPr>
          <w:rFonts w:ascii="Garamond" w:eastAsia="Garamond" w:hAnsi="Garamond" w:cs="Garamond"/>
          <w:color w:val="000000" w:themeColor="text1"/>
          <w:shd w:val="clear" w:color="auto" w:fill="FFFFFF"/>
        </w:rPr>
        <w:t>U</w:t>
      </w:r>
      <w:r w:rsidR="00413231" w:rsidRPr="009E44FA">
        <w:rPr>
          <w:rFonts w:ascii="Garamond" w:eastAsia="Garamond" w:hAnsi="Garamond" w:cs="Garamond"/>
          <w:color w:val="000000" w:themeColor="text1"/>
          <w:shd w:val="clear" w:color="auto" w:fill="FFFFFF"/>
        </w:rPr>
        <w:t xml:space="preserve">, </w:t>
      </w:r>
      <w:r w:rsidR="0018627C" w:rsidRPr="009E44FA">
        <w:rPr>
          <w:rFonts w:ascii="Garamond" w:eastAsia="Garamond" w:hAnsi="Garamond" w:cs="Garamond"/>
          <w:color w:val="000000" w:themeColor="text1"/>
          <w:shd w:val="clear" w:color="auto" w:fill="FFFFFF"/>
        </w:rPr>
        <w:t>Mahmood</w:t>
      </w:r>
      <w:r w:rsidR="00413231" w:rsidRPr="009E44FA">
        <w:rPr>
          <w:rFonts w:ascii="Garamond" w:eastAsia="Garamond" w:hAnsi="Garamond" w:cs="Garamond"/>
          <w:color w:val="000000" w:themeColor="text1"/>
          <w:shd w:val="clear" w:color="auto" w:fill="FFFFFF"/>
        </w:rPr>
        <w:t xml:space="preserve">. </w:t>
      </w:r>
      <w:r w:rsidR="0018627C" w:rsidRPr="009E44FA">
        <w:rPr>
          <w:rFonts w:ascii="Garamond" w:eastAsia="Garamond" w:hAnsi="Garamond" w:cs="Garamond"/>
          <w:color w:val="000000" w:themeColor="text1"/>
          <w:shd w:val="clear" w:color="auto" w:fill="FFFFFF"/>
        </w:rPr>
        <w:t>S</w:t>
      </w:r>
      <w:r w:rsidR="00413231" w:rsidRPr="009E44FA">
        <w:rPr>
          <w:rFonts w:ascii="Garamond" w:eastAsia="Garamond" w:hAnsi="Garamond" w:cs="Garamond"/>
          <w:color w:val="000000" w:themeColor="text1"/>
          <w:shd w:val="clear" w:color="auto" w:fill="FFFFFF"/>
        </w:rPr>
        <w:t xml:space="preserve">, </w:t>
      </w:r>
      <w:r w:rsidRPr="009E44FA">
        <w:rPr>
          <w:rFonts w:ascii="Garamond" w:eastAsia="Garamond" w:hAnsi="Garamond" w:cs="Garamond"/>
          <w:color w:val="000000" w:themeColor="text1"/>
          <w:shd w:val="clear" w:color="auto" w:fill="FFFFFF"/>
        </w:rPr>
        <w:t>“</w:t>
      </w:r>
      <w:r w:rsidR="00A7317B" w:rsidRPr="009E44FA">
        <w:rPr>
          <w:rFonts w:ascii="Garamond" w:hAnsi="Garamond"/>
          <w:sz w:val="24"/>
          <w:szCs w:val="24"/>
        </w:rPr>
        <w:t>Reuse of Ablution Water for Landscaping in Hayatabad Peshawar - A Step Towards Climate Change Adaptation</w:t>
      </w:r>
      <w:r w:rsidR="00ED6A54" w:rsidRPr="009E44FA">
        <w:rPr>
          <w:rFonts w:ascii="Garamond" w:eastAsia="Garamond" w:hAnsi="Garamond" w:cs="Garamond"/>
          <w:color w:val="000000" w:themeColor="text1"/>
        </w:rPr>
        <w:t>”</w:t>
      </w:r>
      <w:r w:rsidRPr="009E44FA">
        <w:rPr>
          <w:rFonts w:ascii="Garamond" w:eastAsia="Garamond" w:hAnsi="Garamond" w:cs="Garamond"/>
          <w:color w:val="000000" w:themeColor="text1"/>
          <w:shd w:val="clear" w:color="auto" w:fill="FFFFFF"/>
        </w:rPr>
        <w:t>,</w:t>
      </w:r>
      <w:r w:rsidR="00E27E36" w:rsidRPr="009E44FA">
        <w:rPr>
          <w:rFonts w:ascii="Garamond" w:eastAsia="Garamond" w:hAnsi="Garamond" w:cs="Garamond"/>
          <w:color w:val="000000" w:themeColor="text1"/>
          <w:shd w:val="clear" w:color="auto" w:fill="FFFFFF"/>
        </w:rPr>
        <w:t xml:space="preserve"> </w:t>
      </w:r>
      <w:r w:rsidRPr="009E44FA">
        <w:rPr>
          <w:rFonts w:ascii="Garamond" w:eastAsia="Garamond" w:hAnsi="Garamond" w:cs="Garamond"/>
          <w:color w:val="000000" w:themeColor="text1"/>
          <w:shd w:val="clear" w:color="auto" w:fill="FFFFFF"/>
        </w:rPr>
        <w:t>IJ</w:t>
      </w:r>
      <w:r w:rsidR="001A4E3F" w:rsidRPr="009E44FA">
        <w:rPr>
          <w:rFonts w:ascii="Garamond" w:eastAsia="Garamond" w:hAnsi="Garamond" w:cs="Garamond"/>
          <w:color w:val="000000" w:themeColor="text1"/>
          <w:shd w:val="clear" w:color="auto" w:fill="FFFFFF"/>
        </w:rPr>
        <w:t>IST</w:t>
      </w:r>
      <w:r w:rsidRPr="009E44FA">
        <w:rPr>
          <w:rFonts w:ascii="Garamond" w:eastAsia="Garamond" w:hAnsi="Garamond" w:cs="Garamond"/>
          <w:color w:val="000000" w:themeColor="text1"/>
          <w:shd w:val="clear" w:color="auto" w:fill="FFFFFF"/>
        </w:rPr>
        <w:t xml:space="preserve">, </w:t>
      </w:r>
      <w:r w:rsidR="001A4E3F" w:rsidRPr="009E44FA">
        <w:rPr>
          <w:rFonts w:ascii="Garamond" w:eastAsia="Garamond" w:hAnsi="Garamond" w:cs="Garamond"/>
          <w:color w:val="000000" w:themeColor="text1"/>
          <w:shd w:val="clear" w:color="auto" w:fill="FFFFFF"/>
        </w:rPr>
        <w:t>V</w:t>
      </w:r>
      <w:r w:rsidRPr="009E44FA">
        <w:rPr>
          <w:rFonts w:ascii="Garamond" w:eastAsia="Garamond" w:hAnsi="Garamond" w:cs="Garamond"/>
          <w:color w:val="000000" w:themeColor="text1"/>
          <w:shd w:val="clear" w:color="auto" w:fill="FFFFFF"/>
        </w:rPr>
        <w:t xml:space="preserve">ol. </w:t>
      </w:r>
      <w:r w:rsidR="00D36B80" w:rsidRPr="009E44FA">
        <w:rPr>
          <w:rFonts w:ascii="Garamond" w:eastAsia="Garamond" w:hAnsi="Garamond" w:cs="Garamond"/>
          <w:color w:val="000000" w:themeColor="text1"/>
          <w:shd w:val="clear" w:color="auto" w:fill="FFFFFF"/>
        </w:rPr>
        <w:t>07</w:t>
      </w:r>
      <w:r w:rsidR="001A4E3F" w:rsidRPr="009E44FA">
        <w:rPr>
          <w:rFonts w:ascii="Garamond" w:eastAsia="Garamond" w:hAnsi="Garamond" w:cs="Garamond"/>
          <w:color w:val="000000" w:themeColor="text1"/>
          <w:shd w:val="clear" w:color="auto" w:fill="FFFFFF"/>
        </w:rPr>
        <w:t xml:space="preserve"> Issue</w:t>
      </w:r>
      <w:r w:rsidRPr="009E44FA">
        <w:rPr>
          <w:rFonts w:ascii="Garamond" w:eastAsia="Garamond" w:hAnsi="Garamond" w:cs="Garamond"/>
          <w:color w:val="000000" w:themeColor="text1"/>
          <w:shd w:val="clear" w:color="auto" w:fill="FFFFFF"/>
        </w:rPr>
        <w:t>.</w:t>
      </w:r>
      <w:r w:rsidR="00E66E72" w:rsidRPr="009E44FA">
        <w:rPr>
          <w:rFonts w:ascii="Garamond" w:eastAsia="Garamond" w:hAnsi="Garamond" w:cs="Garamond"/>
          <w:color w:val="000000" w:themeColor="text1"/>
          <w:shd w:val="clear" w:color="auto" w:fill="FFFFFF"/>
        </w:rPr>
        <w:t xml:space="preserve"> </w:t>
      </w:r>
      <w:r w:rsidR="00D36B80" w:rsidRPr="009E44FA">
        <w:rPr>
          <w:rFonts w:ascii="Garamond" w:eastAsia="Garamond" w:hAnsi="Garamond" w:cs="Garamond"/>
          <w:color w:val="000000" w:themeColor="text1"/>
          <w:shd w:val="clear" w:color="auto" w:fill="FFFFFF"/>
        </w:rPr>
        <w:t>03</w:t>
      </w:r>
      <w:r w:rsidR="00E66E72" w:rsidRPr="009E44FA">
        <w:rPr>
          <w:rFonts w:ascii="Garamond" w:eastAsia="Garamond" w:hAnsi="Garamond" w:cs="Garamond"/>
          <w:color w:val="000000" w:themeColor="text1"/>
          <w:shd w:val="clear" w:color="auto" w:fill="FFFFFF"/>
        </w:rPr>
        <w:t xml:space="preserve"> pp</w:t>
      </w:r>
      <w:r w:rsidRPr="009E44FA">
        <w:rPr>
          <w:rFonts w:ascii="Garamond" w:eastAsia="Garamond" w:hAnsi="Garamond" w:cs="Garamond"/>
          <w:color w:val="000000" w:themeColor="text1"/>
          <w:shd w:val="clear" w:color="auto" w:fill="FFFFFF"/>
        </w:rPr>
        <w:t xml:space="preserve"> </w:t>
      </w:r>
      <w:r w:rsidR="005D0C1D" w:rsidRPr="009E44FA">
        <w:rPr>
          <w:rFonts w:ascii="Garamond" w:eastAsia="Garamond" w:hAnsi="Garamond" w:cs="Garamond"/>
          <w:noProof/>
          <w:color w:val="000000" w:themeColor="text1"/>
        </w:rPr>
        <w:t>1466-1474</w:t>
      </w:r>
      <w:r w:rsidRPr="009E44FA">
        <w:rPr>
          <w:rFonts w:ascii="Garamond" w:eastAsia="Garamond" w:hAnsi="Garamond" w:cs="Garamond"/>
          <w:color w:val="000000" w:themeColor="text1"/>
          <w:shd w:val="clear" w:color="auto" w:fill="FFFFFF"/>
        </w:rPr>
        <w:t xml:space="preserve">, </w:t>
      </w:r>
      <w:r w:rsidR="000101FA" w:rsidRPr="009E44FA">
        <w:rPr>
          <w:rFonts w:ascii="Garamond" w:eastAsia="Garamond" w:hAnsi="Garamond" w:cs="Garamond"/>
          <w:color w:val="000000" w:themeColor="text1"/>
          <w:shd w:val="clear" w:color="auto" w:fill="FFFFFF"/>
        </w:rPr>
        <w:t>Ju</w:t>
      </w:r>
      <w:r w:rsidR="009E44FA">
        <w:rPr>
          <w:rFonts w:ascii="Garamond" w:eastAsia="Garamond" w:hAnsi="Garamond" w:cs="Garamond"/>
          <w:color w:val="000000" w:themeColor="text1"/>
          <w:shd w:val="clear" w:color="auto" w:fill="FFFFFF"/>
        </w:rPr>
        <w:t>ly</w:t>
      </w:r>
      <w:r w:rsidR="004E25B0" w:rsidRPr="009E44FA">
        <w:rPr>
          <w:rFonts w:ascii="Garamond" w:eastAsia="Garamond" w:hAnsi="Garamond" w:cs="Garamond"/>
          <w:color w:val="000000" w:themeColor="text1"/>
          <w:shd w:val="clear" w:color="auto" w:fill="FFFFFF"/>
        </w:rPr>
        <w:t xml:space="preserve"> </w:t>
      </w:r>
      <w:r w:rsidRPr="009E44FA">
        <w:rPr>
          <w:rFonts w:ascii="Garamond" w:eastAsia="Garamond" w:hAnsi="Garamond" w:cs="Garamond"/>
          <w:color w:val="000000" w:themeColor="text1"/>
          <w:shd w:val="clear" w:color="auto" w:fill="FFFFFF"/>
        </w:rPr>
        <w:t>202</w:t>
      </w:r>
      <w:r w:rsidR="00384695" w:rsidRPr="009E44FA">
        <w:rPr>
          <w:rFonts w:ascii="Garamond" w:eastAsia="Garamond" w:hAnsi="Garamond" w:cs="Garamond"/>
          <w:color w:val="000000" w:themeColor="text1"/>
          <w:shd w:val="clear" w:color="auto" w:fill="FFFFFF"/>
        </w:rPr>
        <w:t>5</w:t>
      </w:r>
    </w:p>
    <w:p w14:paraId="6702A80B" w14:textId="1FAF7275" w:rsidR="00F15C29" w:rsidRPr="009E44FA" w:rsidRDefault="00D00196" w:rsidP="00D36B80">
      <w:pPr>
        <w:pBdr>
          <w:bottom w:val="single" w:sz="4" w:space="0" w:color="auto"/>
        </w:pBdr>
        <w:spacing w:after="0" w:line="240" w:lineRule="auto"/>
        <w:jc w:val="both"/>
        <w:rPr>
          <w:rFonts w:ascii="Garamond" w:eastAsia="Garamond" w:hAnsi="Garamond" w:cs="Garamond"/>
          <w:color w:val="000000" w:themeColor="text1"/>
          <w:w w:val="101"/>
          <w:sz w:val="24"/>
          <w:szCs w:val="24"/>
        </w:rPr>
      </w:pPr>
      <w:r w:rsidRPr="009E44FA">
        <w:rPr>
          <w:rFonts w:ascii="Garamond" w:eastAsia="Garamond" w:hAnsi="Garamond" w:cs="Garamond"/>
          <w:b/>
          <w:bCs/>
          <w:color w:val="000000" w:themeColor="text1"/>
          <w:w w:val="101"/>
          <w:sz w:val="24"/>
          <w:szCs w:val="24"/>
        </w:rPr>
        <w:t>Received|</w:t>
      </w:r>
      <w:r w:rsidR="0031151F" w:rsidRPr="009E44FA">
        <w:rPr>
          <w:rFonts w:ascii="Garamond" w:eastAsia="Garamond" w:hAnsi="Garamond" w:cs="Garamond"/>
          <w:b/>
          <w:bCs/>
          <w:color w:val="000000" w:themeColor="text1"/>
          <w:w w:val="101"/>
          <w:sz w:val="24"/>
          <w:szCs w:val="24"/>
        </w:rPr>
        <w:t xml:space="preserve"> </w:t>
      </w:r>
      <w:r w:rsidR="000101FA" w:rsidRPr="009E44FA">
        <w:rPr>
          <w:rFonts w:ascii="Garamond" w:eastAsia="Garamond" w:hAnsi="Garamond" w:cs="Garamond"/>
          <w:color w:val="000000" w:themeColor="text1"/>
          <w:sz w:val="24"/>
          <w:szCs w:val="24"/>
          <w:shd w:val="clear" w:color="auto" w:fill="FFFFFF"/>
        </w:rPr>
        <w:t>June</w:t>
      </w:r>
      <w:r w:rsidR="00413231" w:rsidRPr="009E44FA">
        <w:rPr>
          <w:rFonts w:ascii="Garamond" w:eastAsia="Garamond" w:hAnsi="Garamond" w:cs="Garamond"/>
          <w:color w:val="000000" w:themeColor="text1"/>
          <w:w w:val="101"/>
          <w:sz w:val="24"/>
          <w:szCs w:val="24"/>
        </w:rPr>
        <w:t xml:space="preserve"> </w:t>
      </w:r>
      <w:r w:rsidR="009E44FA" w:rsidRPr="009E44FA">
        <w:rPr>
          <w:rFonts w:ascii="Garamond" w:eastAsia="Garamond" w:hAnsi="Garamond" w:cs="Garamond"/>
          <w:color w:val="000000" w:themeColor="text1"/>
          <w:w w:val="101"/>
          <w:sz w:val="24"/>
          <w:szCs w:val="24"/>
        </w:rPr>
        <w:t>13</w:t>
      </w:r>
      <w:r w:rsidRPr="009E44FA">
        <w:rPr>
          <w:rFonts w:ascii="Garamond" w:eastAsia="Garamond" w:hAnsi="Garamond" w:cs="Garamond"/>
          <w:color w:val="000000" w:themeColor="text1"/>
          <w:w w:val="101"/>
          <w:sz w:val="24"/>
          <w:szCs w:val="24"/>
        </w:rPr>
        <w:t>, 202</w:t>
      </w:r>
      <w:r w:rsidR="00384695" w:rsidRPr="009E44FA">
        <w:rPr>
          <w:rFonts w:ascii="Garamond" w:eastAsia="Garamond" w:hAnsi="Garamond" w:cs="Garamond"/>
          <w:color w:val="000000" w:themeColor="text1"/>
          <w:w w:val="101"/>
          <w:sz w:val="24"/>
          <w:szCs w:val="24"/>
        </w:rPr>
        <w:t>5</w:t>
      </w:r>
      <w:r w:rsidRPr="009E44FA">
        <w:rPr>
          <w:rFonts w:ascii="Garamond" w:eastAsia="Garamond" w:hAnsi="Garamond" w:cs="Garamond"/>
          <w:b/>
          <w:bCs/>
          <w:color w:val="000000" w:themeColor="text1"/>
          <w:w w:val="101"/>
          <w:sz w:val="24"/>
          <w:szCs w:val="24"/>
        </w:rPr>
        <w:t xml:space="preserve"> Revised|</w:t>
      </w:r>
      <w:r w:rsidR="0031151F" w:rsidRPr="009E44FA">
        <w:rPr>
          <w:rFonts w:ascii="Garamond" w:eastAsia="Garamond" w:hAnsi="Garamond" w:cs="Garamond"/>
          <w:b/>
          <w:bCs/>
          <w:color w:val="000000" w:themeColor="text1"/>
          <w:w w:val="101"/>
          <w:sz w:val="24"/>
          <w:szCs w:val="24"/>
        </w:rPr>
        <w:t xml:space="preserve"> </w:t>
      </w:r>
      <w:r w:rsidR="000101FA" w:rsidRPr="009E44FA">
        <w:rPr>
          <w:rFonts w:ascii="Garamond" w:eastAsia="Garamond" w:hAnsi="Garamond" w:cs="Garamond"/>
          <w:color w:val="000000" w:themeColor="text1"/>
          <w:sz w:val="24"/>
          <w:szCs w:val="24"/>
          <w:shd w:val="clear" w:color="auto" w:fill="FFFFFF"/>
        </w:rPr>
        <w:t>Ju</w:t>
      </w:r>
      <w:r w:rsidR="009E44FA" w:rsidRPr="009E44FA">
        <w:rPr>
          <w:rFonts w:ascii="Garamond" w:eastAsia="Garamond" w:hAnsi="Garamond" w:cs="Garamond"/>
          <w:color w:val="000000" w:themeColor="text1"/>
          <w:sz w:val="24"/>
          <w:szCs w:val="24"/>
          <w:shd w:val="clear" w:color="auto" w:fill="FFFFFF"/>
        </w:rPr>
        <w:t>ly</w:t>
      </w:r>
      <w:r w:rsidR="00413231" w:rsidRPr="009E44FA">
        <w:rPr>
          <w:rFonts w:ascii="Garamond" w:eastAsia="Garamond" w:hAnsi="Garamond" w:cs="Garamond"/>
          <w:color w:val="000000" w:themeColor="text1"/>
          <w:w w:val="101"/>
          <w:sz w:val="24"/>
          <w:szCs w:val="24"/>
        </w:rPr>
        <w:t xml:space="preserve"> </w:t>
      </w:r>
      <w:r w:rsidR="009E44FA" w:rsidRPr="009E44FA">
        <w:rPr>
          <w:rFonts w:ascii="Garamond" w:eastAsia="Garamond" w:hAnsi="Garamond" w:cs="Garamond"/>
          <w:color w:val="000000" w:themeColor="text1"/>
          <w:w w:val="101"/>
          <w:sz w:val="24"/>
          <w:szCs w:val="24"/>
        </w:rPr>
        <w:t>05</w:t>
      </w:r>
      <w:r w:rsidRPr="009E44FA">
        <w:rPr>
          <w:rFonts w:ascii="Garamond" w:eastAsia="Garamond" w:hAnsi="Garamond" w:cs="Garamond"/>
          <w:color w:val="000000" w:themeColor="text1"/>
          <w:w w:val="101"/>
          <w:sz w:val="24"/>
          <w:szCs w:val="24"/>
        </w:rPr>
        <w:t>, 202</w:t>
      </w:r>
      <w:r w:rsidR="00384695" w:rsidRPr="009E44FA">
        <w:rPr>
          <w:rFonts w:ascii="Garamond" w:eastAsia="Garamond" w:hAnsi="Garamond" w:cs="Garamond"/>
          <w:color w:val="000000" w:themeColor="text1"/>
          <w:w w:val="101"/>
          <w:sz w:val="24"/>
          <w:szCs w:val="24"/>
        </w:rPr>
        <w:t>5</w:t>
      </w:r>
      <w:r w:rsidRPr="009E44FA">
        <w:rPr>
          <w:rFonts w:ascii="Garamond" w:eastAsia="Garamond" w:hAnsi="Garamond" w:cs="Garamond"/>
          <w:b/>
          <w:bCs/>
          <w:color w:val="000000" w:themeColor="text1"/>
          <w:w w:val="101"/>
          <w:sz w:val="24"/>
          <w:szCs w:val="24"/>
        </w:rPr>
        <w:t xml:space="preserve"> Accepted|</w:t>
      </w:r>
      <w:r w:rsidR="001A4E3F" w:rsidRPr="009E44FA">
        <w:rPr>
          <w:rFonts w:ascii="Garamond" w:eastAsia="Garamond" w:hAnsi="Garamond" w:cs="Garamond"/>
          <w:b/>
          <w:bCs/>
          <w:color w:val="000000" w:themeColor="text1"/>
          <w:w w:val="101"/>
          <w:sz w:val="24"/>
          <w:szCs w:val="24"/>
        </w:rPr>
        <w:t xml:space="preserve"> </w:t>
      </w:r>
      <w:r w:rsidR="000101FA" w:rsidRPr="009E44FA">
        <w:rPr>
          <w:rFonts w:ascii="Garamond" w:eastAsia="Garamond" w:hAnsi="Garamond" w:cs="Garamond"/>
          <w:color w:val="000000" w:themeColor="text1"/>
          <w:sz w:val="24"/>
          <w:szCs w:val="24"/>
          <w:shd w:val="clear" w:color="auto" w:fill="FFFFFF"/>
        </w:rPr>
        <w:t>Ju</w:t>
      </w:r>
      <w:r w:rsidR="009E44FA" w:rsidRPr="009E44FA">
        <w:rPr>
          <w:rFonts w:ascii="Garamond" w:eastAsia="Garamond" w:hAnsi="Garamond" w:cs="Garamond"/>
          <w:color w:val="000000" w:themeColor="text1"/>
          <w:sz w:val="24"/>
          <w:szCs w:val="24"/>
          <w:shd w:val="clear" w:color="auto" w:fill="FFFFFF"/>
        </w:rPr>
        <w:t>ly</w:t>
      </w:r>
      <w:r w:rsidR="00413231" w:rsidRPr="009E44FA">
        <w:rPr>
          <w:rFonts w:ascii="Garamond" w:eastAsia="Garamond" w:hAnsi="Garamond" w:cs="Garamond"/>
          <w:color w:val="000000" w:themeColor="text1"/>
          <w:w w:val="101"/>
          <w:sz w:val="24"/>
          <w:szCs w:val="24"/>
        </w:rPr>
        <w:t xml:space="preserve"> </w:t>
      </w:r>
      <w:r w:rsidR="009E44FA" w:rsidRPr="009E44FA">
        <w:rPr>
          <w:rFonts w:ascii="Garamond" w:eastAsia="Garamond" w:hAnsi="Garamond" w:cs="Garamond"/>
          <w:color w:val="000000" w:themeColor="text1"/>
          <w:w w:val="101"/>
          <w:sz w:val="24"/>
          <w:szCs w:val="24"/>
        </w:rPr>
        <w:t>10</w:t>
      </w:r>
      <w:r w:rsidRPr="009E44FA">
        <w:rPr>
          <w:rFonts w:ascii="Garamond" w:eastAsia="Garamond" w:hAnsi="Garamond" w:cs="Garamond"/>
          <w:color w:val="000000" w:themeColor="text1"/>
          <w:w w:val="101"/>
          <w:sz w:val="24"/>
          <w:szCs w:val="24"/>
        </w:rPr>
        <w:t>, 202</w:t>
      </w:r>
      <w:r w:rsidR="00384695" w:rsidRPr="009E44FA">
        <w:rPr>
          <w:rFonts w:ascii="Garamond" w:eastAsia="Garamond" w:hAnsi="Garamond" w:cs="Garamond"/>
          <w:color w:val="000000" w:themeColor="text1"/>
          <w:w w:val="101"/>
          <w:sz w:val="24"/>
          <w:szCs w:val="24"/>
        </w:rPr>
        <w:t>5</w:t>
      </w:r>
      <w:r w:rsidRPr="009E44FA">
        <w:rPr>
          <w:rFonts w:ascii="Garamond" w:eastAsia="Garamond" w:hAnsi="Garamond" w:cs="Garamond"/>
          <w:b/>
          <w:bCs/>
          <w:color w:val="000000" w:themeColor="text1"/>
          <w:w w:val="101"/>
          <w:sz w:val="24"/>
          <w:szCs w:val="24"/>
        </w:rPr>
        <w:t xml:space="preserve"> Published|</w:t>
      </w:r>
      <w:r w:rsidR="0031151F" w:rsidRPr="009E44FA">
        <w:rPr>
          <w:rFonts w:ascii="Garamond" w:eastAsia="Garamond" w:hAnsi="Garamond" w:cs="Garamond"/>
          <w:b/>
          <w:bCs/>
          <w:color w:val="000000" w:themeColor="text1"/>
          <w:w w:val="101"/>
          <w:sz w:val="24"/>
          <w:szCs w:val="24"/>
        </w:rPr>
        <w:t xml:space="preserve"> </w:t>
      </w:r>
      <w:r w:rsidR="000101FA" w:rsidRPr="009E44FA">
        <w:rPr>
          <w:rFonts w:ascii="Garamond" w:eastAsia="Garamond" w:hAnsi="Garamond" w:cs="Garamond"/>
          <w:color w:val="000000" w:themeColor="text1"/>
          <w:sz w:val="24"/>
          <w:szCs w:val="24"/>
          <w:shd w:val="clear" w:color="auto" w:fill="FFFFFF"/>
        </w:rPr>
        <w:t>Ju</w:t>
      </w:r>
      <w:r w:rsidR="009E44FA" w:rsidRPr="009E44FA">
        <w:rPr>
          <w:rFonts w:ascii="Garamond" w:eastAsia="Garamond" w:hAnsi="Garamond" w:cs="Garamond"/>
          <w:color w:val="000000" w:themeColor="text1"/>
          <w:sz w:val="24"/>
          <w:szCs w:val="24"/>
          <w:shd w:val="clear" w:color="auto" w:fill="FFFFFF"/>
        </w:rPr>
        <w:t>ly</w:t>
      </w:r>
      <w:r w:rsidR="004E25B0" w:rsidRPr="009E44FA">
        <w:rPr>
          <w:rFonts w:ascii="Garamond" w:eastAsia="Garamond" w:hAnsi="Garamond" w:cs="Garamond"/>
          <w:color w:val="000000" w:themeColor="text1"/>
          <w:w w:val="101"/>
          <w:sz w:val="24"/>
          <w:szCs w:val="24"/>
        </w:rPr>
        <w:t xml:space="preserve"> </w:t>
      </w:r>
      <w:r w:rsidR="009E44FA" w:rsidRPr="009E44FA">
        <w:rPr>
          <w:rFonts w:ascii="Garamond" w:eastAsia="Garamond" w:hAnsi="Garamond" w:cs="Garamond"/>
          <w:color w:val="000000" w:themeColor="text1"/>
          <w:w w:val="101"/>
          <w:sz w:val="24"/>
          <w:szCs w:val="24"/>
        </w:rPr>
        <w:t>16</w:t>
      </w:r>
      <w:r w:rsidRPr="009E44FA">
        <w:rPr>
          <w:rFonts w:ascii="Garamond" w:eastAsia="Garamond" w:hAnsi="Garamond" w:cs="Garamond"/>
          <w:color w:val="000000" w:themeColor="text1"/>
          <w:w w:val="101"/>
          <w:sz w:val="24"/>
          <w:szCs w:val="24"/>
        </w:rPr>
        <w:t>, 202</w:t>
      </w:r>
      <w:r w:rsidR="00384695" w:rsidRPr="009E44FA">
        <w:rPr>
          <w:rFonts w:ascii="Garamond" w:eastAsia="Garamond" w:hAnsi="Garamond" w:cs="Garamond"/>
          <w:color w:val="000000" w:themeColor="text1"/>
          <w:w w:val="101"/>
          <w:sz w:val="24"/>
          <w:szCs w:val="24"/>
        </w:rPr>
        <w:t>5</w:t>
      </w:r>
      <w:r w:rsidR="001C0B61" w:rsidRPr="009E44FA">
        <w:rPr>
          <w:rFonts w:ascii="Garamond" w:eastAsia="Garamond" w:hAnsi="Garamond" w:cs="Garamond"/>
          <w:color w:val="000000" w:themeColor="text1"/>
          <w:w w:val="101"/>
          <w:sz w:val="24"/>
          <w:szCs w:val="24"/>
        </w:rPr>
        <w:t>.</w:t>
      </w:r>
    </w:p>
    <w:p w14:paraId="2F86B72E" w14:textId="341A586D" w:rsidR="004F17AE" w:rsidRPr="004F17AE" w:rsidRDefault="004F17AE" w:rsidP="00916F5C">
      <w:pPr>
        <w:keepNext/>
        <w:framePr w:dropCap="drop" w:lines="3" w:wrap="around" w:vAnchor="text" w:hAnchor="text"/>
        <w:spacing w:after="0" w:line="810" w:lineRule="exact"/>
        <w:jc w:val="both"/>
        <w:textAlignment w:val="baseline"/>
        <w:rPr>
          <w:rFonts w:ascii="Garamond" w:hAnsi="Garamond"/>
          <w:position w:val="-10"/>
          <w:sz w:val="113"/>
          <w:szCs w:val="24"/>
        </w:rPr>
      </w:pPr>
      <w:r w:rsidRPr="004F17AE">
        <w:rPr>
          <w:rFonts w:ascii="Garamond" w:hAnsi="Garamond"/>
          <w:position w:val="-10"/>
          <w:sz w:val="113"/>
          <w:szCs w:val="24"/>
        </w:rPr>
        <w:t>R</w:t>
      </w:r>
    </w:p>
    <w:p w14:paraId="594EB318" w14:textId="1B1627C3" w:rsidR="0083501F" w:rsidRPr="00AE5F42" w:rsidRDefault="0083501F" w:rsidP="00916F5C">
      <w:pPr>
        <w:spacing w:after="0" w:line="240" w:lineRule="auto"/>
        <w:jc w:val="both"/>
        <w:rPr>
          <w:rFonts w:ascii="Garamond" w:hAnsi="Garamond"/>
          <w:sz w:val="24"/>
          <w:szCs w:val="24"/>
        </w:rPr>
      </w:pPr>
      <w:r w:rsidRPr="00AE5F42">
        <w:rPr>
          <w:rFonts w:ascii="Garamond" w:hAnsi="Garamond"/>
          <w:sz w:val="24"/>
          <w:szCs w:val="24"/>
        </w:rPr>
        <w:t>apid urbanization and climate change have intensified water scarcity challenges in Pakistan, particularly in cities like Peshawar. This study assesses the feasibility of reusing mosque (masjid) ablution water to irrigate nearby green belts in Hayatabad, Peshawar, as a cost-effective and sustainable alternative to conventional tubewell irrigation. Spatial analysis showed that most green belts are located within a 450-meter radius of mosques, enabling the use of low-energy pumping systems. Economic analysis indicated that reusing ablution water could reduce daily transport and pumping costs by more than thirteenfold, significantly decreasing fuel consumption and greenhouse gas emissions. Water quality tests found that ablution water had BOD levels of 4.6–6 mg/L and COD of 10–12 mg/L, remaining within acceptable limits for non-potable irrigation use. Overall, the results demonstrate that the reuse of ablution water is technically feasible, environmentally beneficial, and aligns with Sustainable Development Goals (SDG 6 and SDG 13). This approach offers a scalable model to improve urban water resilience and reduce pressure on groundwater resources in water-stressed regions</w:t>
      </w:r>
      <w:r w:rsidR="002666D3">
        <w:rPr>
          <w:rFonts w:ascii="Garamond" w:hAnsi="Garamond"/>
          <w:color w:val="FFFF00"/>
          <w:sz w:val="24"/>
          <w:szCs w:val="24"/>
        </w:rPr>
        <w:t>.</w:t>
      </w:r>
    </w:p>
    <w:p w14:paraId="6D042F0B" w14:textId="541A4381" w:rsidR="00E63940" w:rsidRPr="000101FA" w:rsidRDefault="0083501F" w:rsidP="00916F5C">
      <w:pPr>
        <w:spacing w:after="0" w:line="240" w:lineRule="auto"/>
        <w:jc w:val="both"/>
        <w:rPr>
          <w:rFonts w:ascii="Garamond" w:eastAsia="Garamond" w:hAnsi="Garamond" w:cs="Garamond"/>
          <w:color w:val="000000" w:themeColor="text1"/>
          <w:position w:val="-10"/>
          <w:sz w:val="24"/>
          <w:szCs w:val="24"/>
        </w:rPr>
      </w:pPr>
      <w:r w:rsidRPr="00AE5F42">
        <w:rPr>
          <w:rFonts w:ascii="Garamond" w:hAnsi="Garamond"/>
          <w:b/>
          <w:bCs/>
          <w:sz w:val="24"/>
          <w:szCs w:val="24"/>
        </w:rPr>
        <w:t xml:space="preserve">Keywords: </w:t>
      </w:r>
      <w:r w:rsidRPr="00AE5F42">
        <w:rPr>
          <w:rFonts w:ascii="Garamond" w:hAnsi="Garamond"/>
          <w:sz w:val="24"/>
          <w:szCs w:val="24"/>
        </w:rPr>
        <w:t xml:space="preserve">Ablution </w:t>
      </w:r>
      <w:r w:rsidR="002666D3" w:rsidRPr="00AE5F42">
        <w:rPr>
          <w:rFonts w:ascii="Garamond" w:hAnsi="Garamond"/>
          <w:sz w:val="24"/>
          <w:szCs w:val="24"/>
        </w:rPr>
        <w:t>Water Reuse</w:t>
      </w:r>
      <w:r w:rsidRPr="00AE5F42">
        <w:rPr>
          <w:rFonts w:ascii="Garamond" w:hAnsi="Garamond"/>
          <w:sz w:val="24"/>
          <w:szCs w:val="24"/>
        </w:rPr>
        <w:t xml:space="preserve">, COD, BOD, Groundwater </w:t>
      </w:r>
      <w:r w:rsidR="002666D3" w:rsidRPr="00AE5F42">
        <w:rPr>
          <w:rFonts w:ascii="Garamond" w:hAnsi="Garamond"/>
          <w:sz w:val="24"/>
          <w:szCs w:val="24"/>
        </w:rPr>
        <w:t>Conservation</w:t>
      </w:r>
      <w:r w:rsidRPr="00AE5F42">
        <w:rPr>
          <w:rFonts w:ascii="Garamond" w:hAnsi="Garamond"/>
          <w:sz w:val="24"/>
          <w:szCs w:val="24"/>
        </w:rPr>
        <w:t xml:space="preserve">, Energy </w:t>
      </w:r>
      <w:r w:rsidR="002666D3" w:rsidRPr="00AE5F42">
        <w:rPr>
          <w:rFonts w:ascii="Garamond" w:hAnsi="Garamond"/>
          <w:sz w:val="24"/>
          <w:szCs w:val="24"/>
        </w:rPr>
        <w:t>Efficiency,</w:t>
      </w:r>
      <w:r w:rsidRPr="00AE5F42">
        <w:rPr>
          <w:rFonts w:ascii="Garamond" w:hAnsi="Garamond"/>
          <w:sz w:val="24"/>
          <w:szCs w:val="24"/>
        </w:rPr>
        <w:t xml:space="preserve"> SDGs</w:t>
      </w:r>
    </w:p>
    <w:tbl>
      <w:tblPr>
        <w:tblW w:w="8838" w:type="dxa"/>
        <w:tblLayout w:type="fixed"/>
        <w:tblLook w:val="04A0" w:firstRow="1" w:lastRow="0" w:firstColumn="1" w:lastColumn="0" w:noHBand="0" w:noVBand="1"/>
      </w:tblPr>
      <w:tblGrid>
        <w:gridCol w:w="1574"/>
        <w:gridCol w:w="1965"/>
        <w:gridCol w:w="2060"/>
        <w:gridCol w:w="1463"/>
        <w:gridCol w:w="1776"/>
      </w:tblGrid>
      <w:tr w:rsidR="00D54C09" w:rsidRPr="000101FA" w14:paraId="52F173CA" w14:textId="77777777" w:rsidTr="6F90D69E">
        <w:trPr>
          <w:trHeight w:val="503"/>
        </w:trPr>
        <w:tc>
          <w:tcPr>
            <w:tcW w:w="1574" w:type="dxa"/>
          </w:tcPr>
          <w:p w14:paraId="4515E94E" w14:textId="77777777"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bookmarkStart w:id="0" w:name="_Hlk120457397"/>
            <w:r w:rsidRPr="000101FA">
              <w:rPr>
                <w:rFonts w:ascii="Garamond" w:hAnsi="Garamond"/>
                <w:noProof/>
                <w:color w:val="000000" w:themeColor="text1"/>
                <w:sz w:val="24"/>
                <w:szCs w:val="24"/>
              </w:rPr>
              <w:drawing>
                <wp:inline distT="0" distB="0" distL="0" distR="0" wp14:anchorId="7B097D2C" wp14:editId="5BA9C087">
                  <wp:extent cx="935665" cy="3280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5665" cy="328060"/>
                          </a:xfrm>
                          <a:prstGeom prst="rect">
                            <a:avLst/>
                          </a:prstGeom>
                        </pic:spPr>
                      </pic:pic>
                    </a:graphicData>
                  </a:graphic>
                </wp:inline>
              </w:drawing>
            </w:r>
          </w:p>
        </w:tc>
        <w:tc>
          <w:tcPr>
            <w:tcW w:w="1965" w:type="dxa"/>
          </w:tcPr>
          <w:p w14:paraId="74A4341E" w14:textId="77777777"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r w:rsidRPr="000101FA">
              <w:rPr>
                <w:rFonts w:ascii="Garamond" w:hAnsi="Garamond"/>
                <w:noProof/>
                <w:color w:val="000000" w:themeColor="text1"/>
                <w:sz w:val="24"/>
                <w:szCs w:val="24"/>
              </w:rPr>
              <w:drawing>
                <wp:inline distT="0" distB="0" distL="0" distR="0" wp14:anchorId="3930982B" wp14:editId="6F990034">
                  <wp:extent cx="1010093" cy="3315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093" cy="331535"/>
                          </a:xfrm>
                          <a:prstGeom prst="rect">
                            <a:avLst/>
                          </a:prstGeom>
                        </pic:spPr>
                      </pic:pic>
                    </a:graphicData>
                  </a:graphic>
                </wp:inline>
              </w:drawing>
            </w:r>
          </w:p>
        </w:tc>
        <w:tc>
          <w:tcPr>
            <w:tcW w:w="2060" w:type="dxa"/>
          </w:tcPr>
          <w:p w14:paraId="5A705A7C" w14:textId="77777777"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r w:rsidRPr="000101FA">
              <w:rPr>
                <w:rFonts w:ascii="Garamond" w:hAnsi="Garamond"/>
                <w:b/>
                <w:noProof/>
                <w:color w:val="000000" w:themeColor="text1"/>
                <w:sz w:val="24"/>
                <w:szCs w:val="24"/>
              </w:rPr>
              <w:drawing>
                <wp:inline distT="0" distB="0" distL="0" distR="0" wp14:anchorId="7AD097FF" wp14:editId="2F640FF8">
                  <wp:extent cx="1209248" cy="265814"/>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191" b="20878"/>
                          <a:stretch/>
                        </pic:blipFill>
                        <pic:spPr bwMode="auto">
                          <a:xfrm>
                            <a:off x="0" y="0"/>
                            <a:ext cx="1320282" cy="290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3" w:type="dxa"/>
          </w:tcPr>
          <w:p w14:paraId="234C1CFE" w14:textId="3FBF185B"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r w:rsidRPr="000101FA">
              <w:rPr>
                <w:rFonts w:ascii="Garamond" w:hAnsi="Garamond"/>
                <w:noProof/>
                <w:color w:val="000000" w:themeColor="text1"/>
                <w:sz w:val="24"/>
                <w:szCs w:val="24"/>
              </w:rPr>
              <w:drawing>
                <wp:inline distT="0" distB="0" distL="0" distR="0" wp14:anchorId="211636B3" wp14:editId="349FC017">
                  <wp:extent cx="347014" cy="3314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014" cy="331470"/>
                          </a:xfrm>
                          <a:prstGeom prst="rect">
                            <a:avLst/>
                          </a:prstGeom>
                        </pic:spPr>
                      </pic:pic>
                    </a:graphicData>
                  </a:graphic>
                </wp:inline>
              </w:drawing>
            </w:r>
          </w:p>
        </w:tc>
        <w:tc>
          <w:tcPr>
            <w:tcW w:w="1776" w:type="dxa"/>
          </w:tcPr>
          <w:p w14:paraId="496D823B" w14:textId="67209BCC" w:rsidR="009A508E" w:rsidRPr="000101FA" w:rsidRDefault="009A508E" w:rsidP="00352CAB">
            <w:pPr>
              <w:tabs>
                <w:tab w:val="left" w:pos="2835"/>
              </w:tabs>
              <w:spacing w:after="0" w:line="240" w:lineRule="auto"/>
              <w:ind w:left="-107"/>
              <w:jc w:val="center"/>
              <w:rPr>
                <w:rFonts w:ascii="Garamond" w:eastAsia="Garamond" w:hAnsi="Garamond" w:cs="Garamond"/>
                <w:noProof/>
                <w:color w:val="000000" w:themeColor="text1"/>
                <w:sz w:val="24"/>
                <w:szCs w:val="24"/>
              </w:rPr>
            </w:pPr>
            <w:r w:rsidRPr="000101FA">
              <w:rPr>
                <w:rFonts w:ascii="Garamond" w:hAnsi="Garamond"/>
                <w:noProof/>
                <w:color w:val="000000" w:themeColor="text1"/>
                <w:sz w:val="24"/>
                <w:szCs w:val="24"/>
              </w:rPr>
              <w:drawing>
                <wp:inline distT="0" distB="0" distL="0" distR="0" wp14:anchorId="72D33071" wp14:editId="67409BA4">
                  <wp:extent cx="818707" cy="318865"/>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8707" cy="318865"/>
                          </a:xfrm>
                          <a:prstGeom prst="rect">
                            <a:avLst/>
                          </a:prstGeom>
                        </pic:spPr>
                      </pic:pic>
                    </a:graphicData>
                  </a:graphic>
                </wp:inline>
              </w:drawing>
            </w:r>
          </w:p>
        </w:tc>
      </w:tr>
      <w:tr w:rsidR="00D54C09" w:rsidRPr="000101FA" w14:paraId="55B74DB3" w14:textId="77777777" w:rsidTr="6F90D69E">
        <w:trPr>
          <w:trHeight w:val="564"/>
        </w:trPr>
        <w:tc>
          <w:tcPr>
            <w:tcW w:w="1574" w:type="dxa"/>
          </w:tcPr>
          <w:p w14:paraId="13F3ED7E" w14:textId="77777777"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b/>
                <w:noProof/>
                <w:color w:val="000000" w:themeColor="text1"/>
                <w:sz w:val="24"/>
                <w:szCs w:val="24"/>
              </w:rPr>
              <w:drawing>
                <wp:inline distT="0" distB="0" distL="0" distR="0" wp14:anchorId="1AC89A6D" wp14:editId="09857AAE">
                  <wp:extent cx="759460" cy="28624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482"/>
                          <a:stretch/>
                        </pic:blipFill>
                        <pic:spPr bwMode="auto">
                          <a:xfrm>
                            <a:off x="0" y="0"/>
                            <a:ext cx="848264" cy="319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14:paraId="0FEABDD6" w14:textId="77777777"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4DDF5A26" wp14:editId="1BE625B0">
                  <wp:extent cx="1147696" cy="361507"/>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696" cy="361507"/>
                          </a:xfrm>
                          <a:prstGeom prst="rect">
                            <a:avLst/>
                          </a:prstGeom>
                        </pic:spPr>
                      </pic:pic>
                    </a:graphicData>
                  </a:graphic>
                </wp:inline>
              </w:drawing>
            </w:r>
          </w:p>
        </w:tc>
        <w:tc>
          <w:tcPr>
            <w:tcW w:w="2060" w:type="dxa"/>
          </w:tcPr>
          <w:p w14:paraId="3B818406" w14:textId="77777777"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b/>
                <w:noProof/>
                <w:color w:val="000000" w:themeColor="text1"/>
                <w:sz w:val="24"/>
                <w:szCs w:val="24"/>
              </w:rPr>
              <w:drawing>
                <wp:inline distT="0" distB="0" distL="0" distR="0" wp14:anchorId="60AA1C3E" wp14:editId="790A5CDF">
                  <wp:extent cx="1129174" cy="244548"/>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0671"/>
                          <a:stretch/>
                        </pic:blipFill>
                        <pic:spPr bwMode="auto">
                          <a:xfrm>
                            <a:off x="0" y="0"/>
                            <a:ext cx="1174540" cy="254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3" w:type="dxa"/>
          </w:tcPr>
          <w:p w14:paraId="72B2A661" w14:textId="77777777" w:rsidR="009A508E" w:rsidRPr="000101FA" w:rsidRDefault="009A508E" w:rsidP="00352CAB">
            <w:pPr>
              <w:tabs>
                <w:tab w:val="left" w:pos="2835"/>
              </w:tabs>
              <w:spacing w:after="0" w:line="240" w:lineRule="auto"/>
              <w:ind w:left="-107"/>
              <w:jc w:val="center"/>
              <w:rPr>
                <w:rFonts w:ascii="Garamond" w:eastAsia="Garamond" w:hAnsi="Garamond" w:cs="Garamond"/>
                <w:noProof/>
                <w:color w:val="000000" w:themeColor="text1"/>
                <w:sz w:val="24"/>
                <w:szCs w:val="24"/>
              </w:rPr>
            </w:pPr>
            <w:r w:rsidRPr="000101FA">
              <w:rPr>
                <w:rFonts w:ascii="Garamond" w:hAnsi="Garamond"/>
                <w:noProof/>
                <w:color w:val="000000" w:themeColor="text1"/>
                <w:sz w:val="24"/>
                <w:szCs w:val="24"/>
              </w:rPr>
              <w:drawing>
                <wp:inline distT="0" distB="0" distL="0" distR="0" wp14:anchorId="1D99DBDD" wp14:editId="76793BC4">
                  <wp:extent cx="723013" cy="309863"/>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3013" cy="309863"/>
                          </a:xfrm>
                          <a:prstGeom prst="rect">
                            <a:avLst/>
                          </a:prstGeom>
                        </pic:spPr>
                      </pic:pic>
                    </a:graphicData>
                  </a:graphic>
                </wp:inline>
              </w:drawing>
            </w:r>
          </w:p>
        </w:tc>
        <w:tc>
          <w:tcPr>
            <w:tcW w:w="1776" w:type="dxa"/>
          </w:tcPr>
          <w:p w14:paraId="263CA4BC" w14:textId="142F0762"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6B3AF019" wp14:editId="24EC64DD">
                  <wp:extent cx="907332" cy="244549"/>
                  <wp:effectExtent l="0" t="0" r="762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7332" cy="244549"/>
                          </a:xfrm>
                          <a:prstGeom prst="rect">
                            <a:avLst/>
                          </a:prstGeom>
                        </pic:spPr>
                      </pic:pic>
                    </a:graphicData>
                  </a:graphic>
                </wp:inline>
              </w:drawing>
            </w:r>
          </w:p>
        </w:tc>
      </w:tr>
      <w:tr w:rsidR="00D54C09" w:rsidRPr="000101FA" w14:paraId="268A4071" w14:textId="77777777" w:rsidTr="00352CAB">
        <w:trPr>
          <w:trHeight w:val="198"/>
        </w:trPr>
        <w:tc>
          <w:tcPr>
            <w:tcW w:w="1574" w:type="dxa"/>
          </w:tcPr>
          <w:p w14:paraId="2DFA967C" w14:textId="01770952" w:rsidR="009A508E" w:rsidRPr="000101FA" w:rsidRDefault="009A508E" w:rsidP="00352CAB">
            <w:pPr>
              <w:tabs>
                <w:tab w:val="center" w:pos="625"/>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b/>
                <w:noProof/>
                <w:color w:val="000000" w:themeColor="text1"/>
                <w:sz w:val="24"/>
                <w:szCs w:val="24"/>
              </w:rPr>
              <w:drawing>
                <wp:inline distT="0" distB="0" distL="0" distR="0" wp14:anchorId="4DCC6344" wp14:editId="0AF1B3E0">
                  <wp:extent cx="389614" cy="3896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236" cy="398236"/>
                          </a:xfrm>
                          <a:prstGeom prst="rect">
                            <a:avLst/>
                          </a:prstGeom>
                          <a:noFill/>
                          <a:ln>
                            <a:noFill/>
                          </a:ln>
                        </pic:spPr>
                      </pic:pic>
                    </a:graphicData>
                  </a:graphic>
                </wp:inline>
              </w:drawing>
            </w:r>
          </w:p>
        </w:tc>
        <w:tc>
          <w:tcPr>
            <w:tcW w:w="1965" w:type="dxa"/>
          </w:tcPr>
          <w:p w14:paraId="016BE027" w14:textId="28085D8B"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0D280F42" wp14:editId="120A019B">
                  <wp:extent cx="601732" cy="390489"/>
                  <wp:effectExtent l="0" t="0" r="0" b="0"/>
                  <wp:docPr id="5" name="Picture 5" descr="Crossre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732" cy="390489"/>
                          </a:xfrm>
                          <a:prstGeom prst="rect">
                            <a:avLst/>
                          </a:prstGeom>
                        </pic:spPr>
                      </pic:pic>
                    </a:graphicData>
                  </a:graphic>
                </wp:inline>
              </w:drawing>
            </w:r>
          </w:p>
        </w:tc>
        <w:tc>
          <w:tcPr>
            <w:tcW w:w="2060" w:type="dxa"/>
          </w:tcPr>
          <w:p w14:paraId="2282E820" w14:textId="33C2D1C3" w:rsidR="009A508E" w:rsidRPr="000101FA" w:rsidRDefault="009A508E" w:rsidP="00352CAB">
            <w:pPr>
              <w:tabs>
                <w:tab w:val="left" w:pos="2835"/>
              </w:tabs>
              <w:spacing w:after="0" w:line="240" w:lineRule="auto"/>
              <w:ind w:left="-107" w:hanging="16"/>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4818C82D" wp14:editId="5CDC7F3C">
                  <wp:extent cx="1170940" cy="389255"/>
                  <wp:effectExtent l="0" t="0" r="0" b="0"/>
                  <wp:docPr id="6" name="Picture 6" descr="ResearchGate - find and share research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0940" cy="389255"/>
                          </a:xfrm>
                          <a:prstGeom prst="rect">
                            <a:avLst/>
                          </a:prstGeom>
                        </pic:spPr>
                      </pic:pic>
                    </a:graphicData>
                  </a:graphic>
                </wp:inline>
              </w:drawing>
            </w:r>
          </w:p>
        </w:tc>
        <w:tc>
          <w:tcPr>
            <w:tcW w:w="1463" w:type="dxa"/>
          </w:tcPr>
          <w:p w14:paraId="130FD0B2" w14:textId="13018340"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5EEE87AF" wp14:editId="60B20D82">
                  <wp:extent cx="791845" cy="33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845" cy="331470"/>
                          </a:xfrm>
                          <a:prstGeom prst="rect">
                            <a:avLst/>
                          </a:prstGeom>
                        </pic:spPr>
                      </pic:pic>
                    </a:graphicData>
                  </a:graphic>
                </wp:inline>
              </w:drawing>
            </w:r>
          </w:p>
        </w:tc>
        <w:tc>
          <w:tcPr>
            <w:tcW w:w="1776" w:type="dxa"/>
          </w:tcPr>
          <w:p w14:paraId="3554B07C" w14:textId="0C91470E" w:rsidR="009A508E" w:rsidRPr="000101FA" w:rsidRDefault="004E25B0"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eastAsia="Garamond" w:hAnsi="Garamond" w:cs="Garamond"/>
                <w:b/>
                <w:bCs/>
                <w:noProof/>
                <w:color w:val="000000" w:themeColor="text1"/>
                <w:sz w:val="24"/>
                <w:szCs w:val="24"/>
              </w:rPr>
              <w:drawing>
                <wp:inline distT="0" distB="0" distL="0" distR="0" wp14:anchorId="5129A81D" wp14:editId="7D2BCED6">
                  <wp:extent cx="406854" cy="438150"/>
                  <wp:effectExtent l="0" t="0" r="0" b="0"/>
                  <wp:docPr id="14282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606" cy="444345"/>
                          </a:xfrm>
                          <a:prstGeom prst="rect">
                            <a:avLst/>
                          </a:prstGeom>
                          <a:noFill/>
                          <a:ln>
                            <a:noFill/>
                          </a:ln>
                        </pic:spPr>
                      </pic:pic>
                    </a:graphicData>
                  </a:graphic>
                </wp:inline>
              </w:drawing>
            </w:r>
          </w:p>
        </w:tc>
      </w:tr>
      <w:bookmarkEnd w:id="0"/>
    </w:tbl>
    <w:p w14:paraId="676D43FF" w14:textId="77777777" w:rsidR="00A27035" w:rsidRDefault="00A27035" w:rsidP="6F90D69E">
      <w:pPr>
        <w:shd w:val="clear" w:color="auto" w:fill="FFFFFF" w:themeFill="background1"/>
        <w:spacing w:after="0" w:line="240" w:lineRule="auto"/>
        <w:jc w:val="both"/>
        <w:outlineLvl w:val="0"/>
        <w:rPr>
          <w:rFonts w:ascii="Garamond" w:eastAsia="Garamond" w:hAnsi="Garamond" w:cs="Garamond"/>
          <w:b/>
          <w:bCs/>
          <w:color w:val="000000" w:themeColor="text1"/>
          <w:sz w:val="24"/>
          <w:szCs w:val="24"/>
        </w:rPr>
        <w:sectPr w:rsidR="00A27035" w:rsidSect="005D0C1D">
          <w:headerReference w:type="default" r:id="rId26"/>
          <w:footerReference w:type="default" r:id="rId27"/>
          <w:pgSz w:w="10800" w:h="11808"/>
          <w:pgMar w:top="0" w:right="720" w:bottom="274" w:left="1440" w:header="0" w:footer="58" w:gutter="0"/>
          <w:pgNumType w:start="1466"/>
          <w:cols w:space="720"/>
          <w:docGrid w:linePitch="360"/>
        </w:sectPr>
      </w:pPr>
    </w:p>
    <w:p w14:paraId="2EDAFD08" w14:textId="77777777" w:rsidR="00ED6A54" w:rsidRPr="000101FA" w:rsidRDefault="6F90D69E" w:rsidP="6F90D69E">
      <w:pPr>
        <w:shd w:val="clear" w:color="auto" w:fill="FFFFFF" w:themeFill="background1"/>
        <w:spacing w:after="0" w:line="240" w:lineRule="auto"/>
        <w:jc w:val="both"/>
        <w:outlineLvl w:val="0"/>
        <w:rPr>
          <w:rFonts w:ascii="Garamond" w:eastAsia="Garamond" w:hAnsi="Garamond" w:cs="Garamond"/>
          <w:b/>
          <w:bCs/>
          <w:color w:val="000000" w:themeColor="text1"/>
          <w:sz w:val="24"/>
          <w:szCs w:val="24"/>
        </w:rPr>
      </w:pPr>
      <w:r w:rsidRPr="000101FA">
        <w:rPr>
          <w:rFonts w:ascii="Garamond" w:eastAsia="Garamond" w:hAnsi="Garamond" w:cs="Garamond"/>
          <w:b/>
          <w:bCs/>
          <w:color w:val="000000" w:themeColor="text1"/>
          <w:sz w:val="24"/>
          <w:szCs w:val="24"/>
        </w:rPr>
        <w:lastRenderedPageBreak/>
        <w:t>Introduction:</w:t>
      </w:r>
    </w:p>
    <w:p w14:paraId="45C21F97" w14:textId="2FB96F54" w:rsidR="0083501F" w:rsidRPr="00AE5F42" w:rsidRDefault="0083501F" w:rsidP="00C01B70">
      <w:pPr>
        <w:spacing w:after="0" w:line="240" w:lineRule="auto"/>
        <w:ind w:firstLine="720"/>
        <w:jc w:val="both"/>
        <w:rPr>
          <w:rFonts w:ascii="Garamond" w:hAnsi="Garamond"/>
          <w:sz w:val="24"/>
          <w:szCs w:val="24"/>
        </w:rPr>
      </w:pPr>
      <w:r w:rsidRPr="00935406">
        <w:rPr>
          <w:rFonts w:ascii="Garamond" w:hAnsi="Garamond"/>
          <w:sz w:val="24"/>
          <w:szCs w:val="24"/>
        </w:rPr>
        <w:t xml:space="preserve">Water scarcity is among the most critical challenges facing the world today, particularly in arid and semi-arid regions like Pakistan. The country has witnessed a substantial reduction in per capita water availability, from 5,260 cubic meters in 1951 to less than 1,000 cubic meters in recent years, placing it in the category of “water-scarce” nations </w:t>
      </w:r>
      <w:r w:rsidR="00241B38">
        <w:rPr>
          <w:rFonts w:ascii="Garamond" w:hAnsi="Garamond"/>
          <w:sz w:val="24"/>
          <w:szCs w:val="24"/>
        </w:rPr>
        <w:fldChar w:fldCharType="begin" w:fldLock="1"/>
      </w:r>
      <w:r w:rsidR="001E47EB">
        <w:rPr>
          <w:rFonts w:ascii="Garamond" w:hAnsi="Garamond"/>
          <w:sz w:val="24"/>
          <w:szCs w:val="24"/>
        </w:rPr>
        <w:instrText>ADDIN CSL_CITATION {"citationItems":[{"id":"ITEM-1","itemData":{"author":[{"dropping-particle":"","family":"Rasheed","given":"H.","non-dropping-particle":"","parse-names":false,"suffix":""}],"container-title":"Pakistan Council of research in water resources (PCRWR), Islamabad","id":"ITEM-1","issued":{"date-parts":[["2021"]]},"title":"Drinking water quality in Pakistan: Current status and challenges","type":"article-journal","volume":"141"},"uris":["http://www.mendeley.com/documents/?uuid=0ce6153e-cb46-46df-bba5-103c39ed5042"]}],"mendeley":{"formattedCitation":"[1]","plainTextFormattedCitation":"[1]","previouslyFormattedCitation":"[1]"},"properties":{"noteIndex":0},"schema":"https://github.com/citation-style-language/schema/raw/master/csl-citation.json"}</w:instrText>
      </w:r>
      <w:r w:rsidR="00241B38">
        <w:rPr>
          <w:rFonts w:ascii="Garamond" w:hAnsi="Garamond"/>
          <w:sz w:val="24"/>
          <w:szCs w:val="24"/>
        </w:rPr>
        <w:fldChar w:fldCharType="separate"/>
      </w:r>
      <w:r w:rsidR="00241B38" w:rsidRPr="00241B38">
        <w:rPr>
          <w:rFonts w:ascii="Garamond" w:hAnsi="Garamond"/>
          <w:noProof/>
          <w:sz w:val="24"/>
          <w:szCs w:val="24"/>
        </w:rPr>
        <w:t>[1]</w:t>
      </w:r>
      <w:r w:rsidR="00241B38">
        <w:rPr>
          <w:rFonts w:ascii="Garamond" w:hAnsi="Garamond"/>
          <w:sz w:val="24"/>
          <w:szCs w:val="24"/>
        </w:rPr>
        <w:fldChar w:fldCharType="end"/>
      </w:r>
      <w:r w:rsidR="006D68DA">
        <w:rPr>
          <w:rFonts w:ascii="Garamond" w:hAnsi="Garamond"/>
          <w:sz w:val="24"/>
          <w:szCs w:val="24"/>
        </w:rPr>
        <w:t xml:space="preserve">, </w:t>
      </w:r>
      <w:r w:rsidR="006D68DA">
        <w:rPr>
          <w:rFonts w:ascii="Garamond" w:hAnsi="Garamond"/>
          <w:sz w:val="24"/>
          <w:szCs w:val="24"/>
        </w:rPr>
        <w:fldChar w:fldCharType="begin" w:fldLock="1"/>
      </w:r>
      <w:r w:rsidR="006D68DA">
        <w:rPr>
          <w:rFonts w:ascii="Garamond" w:hAnsi="Garamond"/>
          <w:sz w:val="24"/>
          <w:szCs w:val="24"/>
        </w:rPr>
        <w:instrText>ADDIN CSL_CITATION {"citationItems":[{"id":"ITEM-1","itemData":{"DOI":"10.30541/V63I3PP.449-462","ISSN":"00309729","abstract":"Cities in Pakistan are increasingly faced with problems of erratic supply of piped water and unsafe and declining levels of groundwater. Additionally, over one-third (35 to 40 percent) of piped water is wasted through leakages and theft in the water distribution networks.1 By 2050, the country’s urban population is expected to double in size (from 81 million in 2022 to 160 million in 2050 or from 37.7 percent of the total population to 52.2 percent) (see table 1). Providing water for these citizens is a challenging task; finding money to pay for the provision of that water is at least as daunting. Urban water tariffs are low and infrequently adjusted, even with current efforts at reform.","author":[{"dropping-particle":"","family":"Maqbool","given":"Nazam","non-dropping-particle":"","parse-names":false,"suffix":""}],"container-title":"Pakistan Development Review","id":"ITEM-1","issue":"3","issued":{"date-parts":[["2024"]]},"page":"417-430","publisher":"Pakistan Institute of Development Economics","title":"Pakistan’s Urban Water Challenges and Prospects","type":"article-journal","volume":"63"},"uris":["http://www.mendeley.com/documents/?uuid=582ca8e9-bce2-344c-8709-dbed678b6cf0"]}],"mendeley":{"formattedCitation":"[2]","plainTextFormattedCitation":"[2]","previouslyFormattedCitation":"[2]"},"properties":{"noteIndex":0},"schema":"https://github.com/citation-style-language/schema/raw/master/csl-citation.json"}</w:instrText>
      </w:r>
      <w:r w:rsidR="006D68DA">
        <w:rPr>
          <w:rFonts w:ascii="Garamond" w:hAnsi="Garamond"/>
          <w:sz w:val="24"/>
          <w:szCs w:val="24"/>
        </w:rPr>
        <w:fldChar w:fldCharType="separate"/>
      </w:r>
      <w:r w:rsidR="006D68DA" w:rsidRPr="006D68DA">
        <w:rPr>
          <w:rFonts w:ascii="Garamond" w:hAnsi="Garamond"/>
          <w:noProof/>
          <w:sz w:val="24"/>
          <w:szCs w:val="24"/>
        </w:rPr>
        <w:t>[2]</w:t>
      </w:r>
      <w:r w:rsidR="006D68DA">
        <w:rPr>
          <w:rFonts w:ascii="Garamond" w:hAnsi="Garamond"/>
          <w:sz w:val="24"/>
          <w:szCs w:val="24"/>
        </w:rPr>
        <w:fldChar w:fldCharType="end"/>
      </w:r>
      <w:r w:rsidRPr="00935406">
        <w:rPr>
          <w:rFonts w:ascii="Garamond" w:hAnsi="Garamond"/>
          <w:sz w:val="24"/>
          <w:szCs w:val="24"/>
        </w:rPr>
        <w:t xml:space="preserve">. Climate change has further intensified this dilemma through altering precipitation patterns, increasing drought frequency, and shrinking glacier reserves, posing severe threats to water security, agriculture, and urban sustainability </w:t>
      </w:r>
      <w:r w:rsidR="00ED207F">
        <w:rPr>
          <w:rFonts w:ascii="Garamond" w:hAnsi="Garamond"/>
          <w:sz w:val="24"/>
          <w:szCs w:val="24"/>
        </w:rPr>
        <w:fldChar w:fldCharType="begin" w:fldLock="1"/>
      </w:r>
      <w:r w:rsidR="006D68DA">
        <w:rPr>
          <w:rFonts w:ascii="Garamond" w:hAnsi="Garamond"/>
          <w:sz w:val="24"/>
          <w:szCs w:val="24"/>
        </w:rPr>
        <w:instrText>ADDIN CSL_CITATION {"citationItems":[{"id":"ITEM-1","itemData":{"DOI":"https://doi.org/10.5004/dwt.2018.22790","author":[{"dropping-particle":"","family":"Ziad Al-Ghazawi, Ahmad Qasaimeh","given":"Khalid Bani-Melhem","non-dropping-particle":"","parse-names":false,"suffix":""}],"container-title":"Desalination and Water Treatment","id":"ITEM-1","issued":{"date-parts":[["2018"]]},"page":"213-221","title":"Ablution gray water qualitative assessment and treatment by submerged membrane bioreactor: a case study in Jordan","type":"article-journal","volume":"127"},"uris":["http://www.mendeley.com/documents/?uuid=35d91211-547a-49e2-bc1e-d56d512e27af"]}],"mendeley":{"formattedCitation":"[3]","plainTextFormattedCitation":"[3]","previouslyFormattedCitation":"[3]"},"properties":{"noteIndex":0},"schema":"https://github.com/citation-style-language/schema/raw/master/csl-citation.json"}</w:instrText>
      </w:r>
      <w:r w:rsidR="00ED207F">
        <w:rPr>
          <w:rFonts w:ascii="Garamond" w:hAnsi="Garamond"/>
          <w:sz w:val="24"/>
          <w:szCs w:val="24"/>
        </w:rPr>
        <w:fldChar w:fldCharType="separate"/>
      </w:r>
      <w:r w:rsidR="006D68DA" w:rsidRPr="006D68DA">
        <w:rPr>
          <w:rFonts w:ascii="Garamond" w:hAnsi="Garamond"/>
          <w:noProof/>
          <w:sz w:val="24"/>
          <w:szCs w:val="24"/>
        </w:rPr>
        <w:t>[3]</w:t>
      </w:r>
      <w:r w:rsidR="00ED207F">
        <w:rPr>
          <w:rFonts w:ascii="Garamond" w:hAnsi="Garamond"/>
          <w:sz w:val="24"/>
          <w:szCs w:val="24"/>
        </w:rPr>
        <w:fldChar w:fldCharType="end"/>
      </w:r>
      <w:r w:rsidRPr="00AE5F42">
        <w:rPr>
          <w:rFonts w:ascii="Garamond" w:hAnsi="Garamond"/>
          <w:sz w:val="24"/>
          <w:szCs w:val="24"/>
        </w:rPr>
        <w:t>.</w:t>
      </w:r>
    </w:p>
    <w:p w14:paraId="4342C0C4" w14:textId="3C4497FE" w:rsidR="0083501F" w:rsidRPr="00AE5F42" w:rsidRDefault="0083501F" w:rsidP="00815B7E">
      <w:pPr>
        <w:spacing w:after="0" w:line="240" w:lineRule="auto"/>
        <w:ind w:firstLine="720"/>
        <w:jc w:val="both"/>
        <w:rPr>
          <w:rFonts w:ascii="Garamond" w:hAnsi="Garamond"/>
          <w:sz w:val="24"/>
          <w:szCs w:val="24"/>
        </w:rPr>
      </w:pPr>
      <w:r w:rsidRPr="00AE5F42">
        <w:rPr>
          <w:rFonts w:ascii="Garamond" w:hAnsi="Garamond"/>
          <w:sz w:val="24"/>
          <w:szCs w:val="24"/>
        </w:rPr>
        <w:t>Urban areas like Peshawar are witnessing rapid population growth and significant land use changes, leading to higher water consumption and placing increased strain on the city's aging water infrastructure</w:t>
      </w:r>
      <w:r w:rsidR="006D68DA">
        <w:rPr>
          <w:rFonts w:ascii="Garamond" w:hAnsi="Garamond"/>
          <w:sz w:val="24"/>
          <w:szCs w:val="24"/>
        </w:rPr>
        <w:t xml:space="preserve"> </w:t>
      </w:r>
      <w:r w:rsidR="006D68DA">
        <w:rPr>
          <w:rFonts w:ascii="Garamond" w:hAnsi="Garamond"/>
          <w:sz w:val="24"/>
          <w:szCs w:val="24"/>
        </w:rPr>
        <w:fldChar w:fldCharType="begin" w:fldLock="1"/>
      </w:r>
      <w:r w:rsidR="006D68DA">
        <w:rPr>
          <w:rFonts w:ascii="Garamond" w:hAnsi="Garamond"/>
          <w:sz w:val="24"/>
          <w:szCs w:val="24"/>
        </w:rPr>
        <w:instrText>ADDIN CSL_CITATION {"citationItems":[{"id":"ITEM-1","itemData":{"abstract":"“The water issue is critically related to climate change. People say that carbon is the currency of climate change. Water is the teeth.” Jim Yong Kim, Former President, World Bank       1. INTRODUCTION Water is the prime channel through which the impacts of climate change on the world’s ecosystems and…","container-title":"https://pide.org.pk/","id":"ITEM-1","issued":{"date-parts":[["0"]]},"title":"Impact of Climate Change on Water in Pakistan","type":"article-journal"},"uris":["http://www.mendeley.com/documents/?uuid=74fed1aa-bf30-3809-89d5-d812c9ad4a56"]}],"mendeley":{"formattedCitation":"[4]","plainTextFormattedCitation":"[4]","previouslyFormattedCitation":"[4]"},"properties":{"noteIndex":0},"schema":"https://github.com/citation-style-language/schema/raw/master/csl-citation.json"}</w:instrText>
      </w:r>
      <w:r w:rsidR="006D68DA">
        <w:rPr>
          <w:rFonts w:ascii="Garamond" w:hAnsi="Garamond"/>
          <w:sz w:val="24"/>
          <w:szCs w:val="24"/>
        </w:rPr>
        <w:fldChar w:fldCharType="separate"/>
      </w:r>
      <w:r w:rsidR="006D68DA" w:rsidRPr="006D68DA">
        <w:rPr>
          <w:rFonts w:ascii="Garamond" w:hAnsi="Garamond"/>
          <w:noProof/>
          <w:sz w:val="24"/>
          <w:szCs w:val="24"/>
        </w:rPr>
        <w:t>[4]</w:t>
      </w:r>
      <w:r w:rsidR="006D68DA">
        <w:rPr>
          <w:rFonts w:ascii="Garamond" w:hAnsi="Garamond"/>
          <w:sz w:val="24"/>
          <w:szCs w:val="24"/>
        </w:rPr>
        <w:fldChar w:fldCharType="end"/>
      </w:r>
      <w:r w:rsidR="006D68DA">
        <w:rPr>
          <w:rFonts w:ascii="Garamond" w:hAnsi="Garamond"/>
          <w:sz w:val="24"/>
          <w:szCs w:val="24"/>
        </w:rPr>
        <w:t xml:space="preserve">, </w:t>
      </w:r>
      <w:r w:rsidR="006D68DA">
        <w:rPr>
          <w:rFonts w:ascii="Garamond" w:hAnsi="Garamond"/>
          <w:sz w:val="24"/>
          <w:szCs w:val="24"/>
        </w:rPr>
        <w:fldChar w:fldCharType="begin" w:fldLock="1"/>
      </w:r>
      <w:r w:rsidR="006D68DA">
        <w:rPr>
          <w:rFonts w:ascii="Garamond" w:hAnsi="Garamond"/>
          <w:sz w:val="24"/>
          <w:szCs w:val="24"/>
        </w:rPr>
        <w:instrText>ADDIN CSL_CITATION {"citationItems":[{"id":"ITEM-1","itemData":{"DOI":"10.1111/JFR3.12857","ISSN":"1753-318X","abstract":"Pakistan experiences extreme flood events almost every year during the monsoon season. Recently, flood events have become more disastrous as their frequency and magnitude have increased due to climate change. This situation is further worsened due to the limited capacity of existing water reservoirs and their ability to absorb and mitigate peak floods. Thus, the simulation of stream flows using projected data from climate models is essential to assess flood events and proper water resource management in the country. This study investigates the future floods (in near future and far future periods) using the integrated flood analysis system (IFAS) model under the RCP2.6, RCP4.5, and RCP8.5 climate change scenarios. Downscaled and bias corrected climatic data of six general circulation models and their ensemble were used in this study. The IFAS model simulated the stream flow efficiently (R2 = 0.86–0.93 and Nash–Sutcliffe efficiency = 0.72–0.92) in the Jhelum River basin (JRB), Kabul River basin (KRB), and upper Indus River basin (UIRB) during the calibration and validation periods. The simulation results of the model showed significant impact of projected climate change on stream flows that will cause the mean monthly stream flow in the JRB to be lower, while that of the KRB and UIRB to be higher than that of the historical period. The highest flow months are expected to shift from May–June (Jhelum basin) and June–July (Kabul basin) to April–May with no changes in the UIRB. Higher frequencies of low to medium floods are projected in the KRB and UIRB, while the JRB expects fewer flood events. Based on the results from the IFAS model, it is concluded that stream flow in the study area will increase with several flood events.","author":[{"dropping-particle":"","family":"Rizwan","given":"Muhammad","non-dropping-particle":"","parse-names":false,"suffix":""},{"dropping-particle":"","family":"Li","given":"Xin","non-dropping-particle":"","parse-names":false,"suffix":""},{"dropping-particle":"","family":"Chen","given":"Yingying","non-dropping-particle":"","parse-names":false,"suffix":""},{"dropping-particle":"","family":"Anjum","given":"Lubna","non-dropping-particle":"","parse-names":false,"suffix":""},{"dropping-particle":"","family":"Hamid","given":"Shanawar","non-dropping-particle":"","parse-names":false,"suffix":""},{"dropping-particle":"","family":"Yamin","given":"Muhammad","non-dropping-particle":"","parse-names":false,"suffix":""},{"dropping-particle":"","family":"Chauhdary","given":"Junaid Nawaz","non-dropping-particle":"","parse-names":false,"suffix":""},{"dropping-particle":"","family":"Shahid","given":"Muhammad Adnan","non-dropping-particle":"","parse-names":false,"suffix":""},{"dropping-particle":"","family":"Mehmood","given":"Qaisar","non-dropping-particle":"","parse-names":false,"suffix":""}],"container-title":"Journal of Flood Risk Management","id":"ITEM-1","issue":"1","issued":{"date-parts":[["2023","3","1"]]},"page":"e12857","publisher":"John Wiley &amp; Sons, Ltd","title":"Simulating future flood risks under climate change in the source region of the Indus River","type":"article-journal","volume":"16"},"uris":["http://www.mendeley.com/documents/?uuid=44da180f-518c-3168-87ea-1420998edd74"]}],"mendeley":{"formattedCitation":"[5]","plainTextFormattedCitation":"[5]","previouslyFormattedCitation":"[5]"},"properties":{"noteIndex":0},"schema":"https://github.com/citation-style-language/schema/raw/master/csl-citation.json"}</w:instrText>
      </w:r>
      <w:r w:rsidR="006D68DA">
        <w:rPr>
          <w:rFonts w:ascii="Garamond" w:hAnsi="Garamond"/>
          <w:sz w:val="24"/>
          <w:szCs w:val="24"/>
        </w:rPr>
        <w:fldChar w:fldCharType="separate"/>
      </w:r>
      <w:r w:rsidR="006D68DA" w:rsidRPr="006D68DA">
        <w:rPr>
          <w:rFonts w:ascii="Garamond" w:hAnsi="Garamond"/>
          <w:noProof/>
          <w:sz w:val="24"/>
          <w:szCs w:val="24"/>
        </w:rPr>
        <w:t>[5]</w:t>
      </w:r>
      <w:r w:rsidR="006D68DA">
        <w:rPr>
          <w:rFonts w:ascii="Garamond" w:hAnsi="Garamond"/>
          <w:sz w:val="24"/>
          <w:szCs w:val="24"/>
        </w:rPr>
        <w:fldChar w:fldCharType="end"/>
      </w:r>
      <w:r w:rsidRPr="00AE5F42">
        <w:rPr>
          <w:rFonts w:ascii="Garamond" w:hAnsi="Garamond"/>
          <w:sz w:val="24"/>
          <w:szCs w:val="24"/>
        </w:rPr>
        <w:t>.  In addition to domestic use, a significant portion of urban water is used for maintaining green belt</w:t>
      </w:r>
      <w:r>
        <w:rPr>
          <w:rFonts w:ascii="Garamond" w:hAnsi="Garamond"/>
          <w:sz w:val="24"/>
          <w:szCs w:val="24"/>
        </w:rPr>
        <w:t>s</w:t>
      </w:r>
      <w:r w:rsidRPr="00AE5F42">
        <w:rPr>
          <w:rFonts w:ascii="Garamond" w:hAnsi="Garamond"/>
          <w:sz w:val="24"/>
          <w:szCs w:val="24"/>
        </w:rPr>
        <w:t xml:space="preserve"> and landscapes. Landscaping, while essential for urban aesthetics, microclimate regulation, and ecosystem services, becomes a substantial burden on municipal water supply, especially during dry </w:t>
      </w:r>
      <w:r w:rsidRPr="00935406">
        <w:rPr>
          <w:rFonts w:ascii="Garamond" w:hAnsi="Garamond"/>
          <w:sz w:val="24"/>
          <w:szCs w:val="24"/>
        </w:rPr>
        <w:t xml:space="preserve">seasons </w:t>
      </w:r>
      <w:r w:rsidR="00A64930">
        <w:rPr>
          <w:rFonts w:ascii="Garamond" w:hAnsi="Garamond"/>
          <w:sz w:val="24"/>
          <w:szCs w:val="24"/>
        </w:rPr>
        <w:fldChar w:fldCharType="begin" w:fldLock="1"/>
      </w:r>
      <w:r w:rsidR="006D68DA">
        <w:rPr>
          <w:rFonts w:ascii="Garamond" w:hAnsi="Garamond"/>
          <w:sz w:val="24"/>
          <w:szCs w:val="24"/>
        </w:rPr>
        <w:instrText>ADDIN CSL_CITATION {"citationItems":[{"id":"ITEM-1","itemData":{"DOI":"10.1007/978-3-030-18359-2_8","ISBN":"978-3-030-18359-2","ISSN":"2364-8198","abstract":"The reduced quality and yield of surface and groundwater due to droughts and changing climatic conditions lead to an increase to reusing wastewater (WW) in the Czech Republic. Reusing WW can be implemented at the wastewater treatment plant or in the building. The...","author":[{"dropping-particle":"","family":"Raček","given":"Jakub","non-dropping-particle":"","parse-names":false,"suffix":""}],"container-title":"Springer Water","id":"ITEM-1","issued":{"date-parts":[["2020"]]},"page":"195-217","publisher":"Springer, Cham","title":"Gray Water Reuse in Urban Areas","type":"article-journal"},"uris":["http://www.mendeley.com/documents/?uuid=71a2365d-250b-306b-bfc6-cd407af5db54"]}],"mendeley":{"formattedCitation":"[6]","plainTextFormattedCitation":"[6]","previouslyFormattedCitation":"[6]"},"properties":{"noteIndex":0},"schema":"https://github.com/citation-style-language/schema/raw/master/csl-citation.json"}</w:instrText>
      </w:r>
      <w:r w:rsidR="00A64930">
        <w:rPr>
          <w:rFonts w:ascii="Garamond" w:hAnsi="Garamond"/>
          <w:sz w:val="24"/>
          <w:szCs w:val="24"/>
        </w:rPr>
        <w:fldChar w:fldCharType="separate"/>
      </w:r>
      <w:r w:rsidR="006D68DA" w:rsidRPr="006D68DA">
        <w:rPr>
          <w:rFonts w:ascii="Garamond" w:hAnsi="Garamond"/>
          <w:noProof/>
          <w:sz w:val="24"/>
          <w:szCs w:val="24"/>
        </w:rPr>
        <w:t>[6]</w:t>
      </w:r>
      <w:r w:rsidR="00A64930">
        <w:rPr>
          <w:rFonts w:ascii="Garamond" w:hAnsi="Garamond"/>
          <w:sz w:val="24"/>
          <w:szCs w:val="24"/>
        </w:rPr>
        <w:fldChar w:fldCharType="end"/>
      </w:r>
      <w:r w:rsidRPr="00935406">
        <w:rPr>
          <w:rFonts w:ascii="Garamond" w:hAnsi="Garamond"/>
          <w:sz w:val="24"/>
          <w:szCs w:val="24"/>
        </w:rPr>
        <w:t xml:space="preserve">. With the growing severity of climate change impacts, it has become crucial to implement adaptive strategies that ensure the long-term sustainability of water resources. One potential solution is the reuse of greywater, which is defined as wastewater generated from non-toilet sources such as showers, sinks, and ablution (Wudu) facilities </w:t>
      </w:r>
      <w:r w:rsidR="00A64930">
        <w:rPr>
          <w:rFonts w:ascii="Garamond" w:hAnsi="Garamond"/>
          <w:sz w:val="24"/>
          <w:szCs w:val="24"/>
        </w:rPr>
        <w:fldChar w:fldCharType="begin" w:fldLock="1"/>
      </w:r>
      <w:r w:rsidR="006D68DA">
        <w:rPr>
          <w:rFonts w:ascii="Garamond" w:hAnsi="Garamond"/>
          <w:sz w:val="24"/>
          <w:szCs w:val="24"/>
        </w:rPr>
        <w:instrText>ADDIN CSL_CITATION {"citationItems":[{"id":"ITEM-1","itemData":{"DOI":"https://doi.org/10.1007/s13201-025-02488-0","author":[{"dropping-particle":"","family":"Shayan Ameer, Nisar Muhammad, Khan Zaib Jadoon","given":"Nadeem Sheikh &amp; Khalil Ur Rahman","non-dropping-particle":"","parse-names":false,"suffix":""}],"container-title":"Applied Water Science","id":"ITEM-1","issue":"173","issued":{"date-parts":[["2025"]]},"title":"A systematic literature review on potential of ablution greywater reuse: current insights, challenges, and future prospects","type":"article-journal","volume":"15"},"uris":["http://www.mendeley.com/documents/?uuid=588b9b21-d313-4d12-ac70-fcb37abd89cd"]}],"mendeley":{"formattedCitation":"[7]","plainTextFormattedCitation":"[7]","previouslyFormattedCitation":"[7]"},"properties":{"noteIndex":0},"schema":"https://github.com/citation-style-language/schema/raw/master/csl-citation.json"}</w:instrText>
      </w:r>
      <w:r w:rsidR="00A64930">
        <w:rPr>
          <w:rFonts w:ascii="Garamond" w:hAnsi="Garamond"/>
          <w:sz w:val="24"/>
          <w:szCs w:val="24"/>
        </w:rPr>
        <w:fldChar w:fldCharType="separate"/>
      </w:r>
      <w:r w:rsidR="006D68DA" w:rsidRPr="006D68DA">
        <w:rPr>
          <w:rFonts w:ascii="Garamond" w:hAnsi="Garamond"/>
          <w:noProof/>
          <w:sz w:val="24"/>
          <w:szCs w:val="24"/>
        </w:rPr>
        <w:t>[7]</w:t>
      </w:r>
      <w:r w:rsidR="00A64930">
        <w:rPr>
          <w:rFonts w:ascii="Garamond" w:hAnsi="Garamond"/>
          <w:sz w:val="24"/>
          <w:szCs w:val="24"/>
        </w:rPr>
        <w:fldChar w:fldCharType="end"/>
      </w:r>
      <w:r w:rsidR="000D0256">
        <w:rPr>
          <w:rFonts w:ascii="Garamond" w:hAnsi="Garamond"/>
          <w:sz w:val="24"/>
          <w:szCs w:val="24"/>
        </w:rPr>
        <w:t xml:space="preserve">, </w:t>
      </w:r>
      <w:r w:rsidR="000D0256">
        <w:rPr>
          <w:rFonts w:ascii="Garamond" w:hAnsi="Garamond"/>
          <w:sz w:val="24"/>
          <w:szCs w:val="24"/>
        </w:rPr>
        <w:fldChar w:fldCharType="begin" w:fldLock="1"/>
      </w:r>
      <w:r w:rsidR="000D0256">
        <w:rPr>
          <w:rFonts w:ascii="Garamond" w:hAnsi="Garamond"/>
          <w:sz w:val="24"/>
          <w:szCs w:val="24"/>
        </w:rPr>
        <w:instrText>ADDIN CSL_CITATION {"citationItems":[{"id":"ITEM-1","itemData":{"DOI":"10.1002/HYP.5584","ISSN":"0885-6087","abstract":"Conversion of land to feed and shelter the growing human enterprise has been one of the primary modes for human modification of the global environment. Over the coming decades, expansion and intensification of agriculture, growth of urban areas, and extraction of timber and other natural resources will likely accelerate to satisfy demands of increasing numbers of people at higher standards of living. Human transformation of the Earth’s land surface has multiple consequences for biophysical systems at all scales, ranging from local urban heat islands (Kalnay and Cai, 2003) and alterations in streamflow patterns (Storck et al., 1998; Rose and Peters, 2001) to altered patterns of global atmospheric circulation (Werth and Avissar, 2002) and long-term extinction of species (Pimm and Raven, 2000). Land-use change is a major issue for this century. Some suggest that the consequences may outweigh those from climate change (Sala et al., 2000; Vorosmarty et al., 2000). To date, much of the research investigating the consequences of land-use change has focused on two issues: (1) the effects of land- use change on climate, either indirectly through emissions of carbon dioxide and other greenhouse gases from burning and decaying biomass (Houghton, 1995), or directly through altered exchanges of energy, water, and momentum between the land surface and atmosphere (Bonan, 1997), and (2) the effects of habitat loss on bio- diversity (Sala et al., 2000). Although the study of linkages between vegetative cover, hydrologic processes and water quality has a rela- tively long history based on modelling, experimental watersheds, and measurements, the consequences of anthropogenic land-use change for hydrology have received little attention in the study of land-use change (Lambin et al., 2002). We suggest that understanding the consequences of land-use change for hydrologic processes, and integrating this understanding into the emerging focus on land-change science (Turner et al., 2003), are major needs for the future. These consequences include: changes in water demands from changing land-use practices, such as irriga- tion and urbanization; changes in water supply from altered hydro- logical processes of infiltration, groundwater recharge and runoff; and changes in water quality from agricultural runoff and suburban development. Understanding these consequences requires transcend- ing traditional boundaries between disciplines such as hydrology, ecology, geography and even t…","author":[{"dropping-particle":"","family":"DeFries","given":"R.","non-dropping-particle":"","parse-names":false,"suffix":""},{"dropping-particle":"","family":"Eshleman","given":"K. N.","non-dropping-particle":"","parse-names":false,"suffix":""}],"container-title":"Hydrological Processes","id":"ITEM-1","issue":"11","issued":{"date-parts":[["2004","8","15"]]},"page":"2183-2186","publisher":"Wiley","title":"Land</w:instrText>
      </w:r>
      <w:r w:rsidR="000D0256">
        <w:rPr>
          <w:rFonts w:ascii="Cambria Math" w:hAnsi="Cambria Math" w:cs="Cambria Math"/>
          <w:sz w:val="24"/>
          <w:szCs w:val="24"/>
        </w:rPr>
        <w:instrText>‐</w:instrText>
      </w:r>
      <w:r w:rsidR="000D0256">
        <w:rPr>
          <w:rFonts w:ascii="Garamond" w:hAnsi="Garamond"/>
          <w:sz w:val="24"/>
          <w:szCs w:val="24"/>
        </w:rPr>
        <w:instrText>use change and hydrologic processes: a major focus for the future","type":"article-journal","volume":"18"},"uris":["http://www.mendeley.com/documents/?uuid=5305fdeb-2e6c-38cb-b8f3-1badbbe57836"]}],"mendeley":{"formattedCitation":"[8]","plainTextFormattedCitation":"[8]","previouslyFormattedCitation":"[8]"},"properties":{"noteIndex":0},"schema":"https://github.com/citation-style-language/schema/raw/master/csl-citation.json"}</w:instrText>
      </w:r>
      <w:r w:rsidR="000D0256">
        <w:rPr>
          <w:rFonts w:ascii="Garamond" w:hAnsi="Garamond"/>
          <w:sz w:val="24"/>
          <w:szCs w:val="24"/>
        </w:rPr>
        <w:fldChar w:fldCharType="separate"/>
      </w:r>
      <w:r w:rsidR="000D0256" w:rsidRPr="000D0256">
        <w:rPr>
          <w:rFonts w:ascii="Garamond" w:hAnsi="Garamond"/>
          <w:noProof/>
          <w:sz w:val="24"/>
          <w:szCs w:val="24"/>
        </w:rPr>
        <w:t>[8]</w:t>
      </w:r>
      <w:r w:rsidR="000D0256">
        <w:rPr>
          <w:rFonts w:ascii="Garamond" w:hAnsi="Garamond"/>
          <w:sz w:val="24"/>
          <w:szCs w:val="24"/>
        </w:rPr>
        <w:fldChar w:fldCharType="end"/>
      </w:r>
      <w:r w:rsidRPr="00935406">
        <w:rPr>
          <w:rFonts w:ascii="Garamond" w:hAnsi="Garamond"/>
          <w:sz w:val="24"/>
          <w:szCs w:val="24"/>
        </w:rPr>
        <w:t xml:space="preserve">. Greywater reuse has been successfully adopted in various parts of the world for landscape irrigation, toilet flushing, and industrial processes, offering considerable potential to reduce freshwater demand and improve resilience to water shortages </w:t>
      </w:r>
      <w:r w:rsidR="00DD0E9A">
        <w:rPr>
          <w:rFonts w:ascii="Garamond" w:hAnsi="Garamond"/>
          <w:sz w:val="24"/>
          <w:szCs w:val="24"/>
        </w:rPr>
        <w:fldChar w:fldCharType="begin" w:fldLock="1"/>
      </w:r>
      <w:r w:rsidR="000D0256">
        <w:rPr>
          <w:rFonts w:ascii="Garamond" w:hAnsi="Garamond"/>
          <w:sz w:val="24"/>
          <w:szCs w:val="24"/>
        </w:rPr>
        <w:instrText>ADDIN CSL_CITATION {"citationItems":[{"id":"ITEM-1","itemData":{"author":[{"dropping-particle":"","family":"Saimar Pervez, Laiba Ahmed, Adeel Asif, Khawaja Zawar Ahmed, Kamran Manzoor, Babar Abbas","given":"Muhammad Usman Saleem","non-dropping-particle":"","parse-names":false,"suffix":""}],"container-title":"Technical journal , UET Taxila","id":"ITEM-1","issued":{"date-parts":[["2024"]]},"title":"Development and Application of Low-Cost Filtration System for the Treatment of Greywater of a Mosque","type":"article-journal","volume":"3"},"uris":["http://www.mendeley.com/documents/?uuid=21392f88-8a90-42f2-a92a-1ac11a265997"]}],"mendeley":{"formattedCitation":"[9]","plainTextFormattedCitation":"[9]","previouslyFormattedCitation":"[9]"},"properties":{"noteIndex":0},"schema":"https://github.com/citation-style-language/schema/raw/master/csl-citation.json"}</w:instrText>
      </w:r>
      <w:r w:rsidR="00DD0E9A">
        <w:rPr>
          <w:rFonts w:ascii="Garamond" w:hAnsi="Garamond"/>
          <w:sz w:val="24"/>
          <w:szCs w:val="24"/>
        </w:rPr>
        <w:fldChar w:fldCharType="separate"/>
      </w:r>
      <w:r w:rsidR="000D0256" w:rsidRPr="000D0256">
        <w:rPr>
          <w:rFonts w:ascii="Garamond" w:hAnsi="Garamond"/>
          <w:noProof/>
          <w:sz w:val="24"/>
          <w:szCs w:val="24"/>
        </w:rPr>
        <w:t>[9]</w:t>
      </w:r>
      <w:r w:rsidR="00DD0E9A">
        <w:rPr>
          <w:rFonts w:ascii="Garamond" w:hAnsi="Garamond"/>
          <w:sz w:val="24"/>
          <w:szCs w:val="24"/>
        </w:rPr>
        <w:fldChar w:fldCharType="end"/>
      </w:r>
      <w:r w:rsidR="000D0256">
        <w:rPr>
          <w:rFonts w:ascii="Garamond" w:hAnsi="Garamond"/>
          <w:sz w:val="24"/>
          <w:szCs w:val="24"/>
        </w:rPr>
        <w:t xml:space="preserve">, </w:t>
      </w:r>
      <w:r w:rsidR="000D0256">
        <w:rPr>
          <w:rFonts w:ascii="Garamond" w:hAnsi="Garamond"/>
          <w:sz w:val="24"/>
          <w:szCs w:val="24"/>
        </w:rPr>
        <w:fldChar w:fldCharType="begin" w:fldLock="1"/>
      </w:r>
      <w:r w:rsidR="000D0256">
        <w:rPr>
          <w:rFonts w:ascii="Garamond" w:hAnsi="Garamond"/>
          <w:sz w:val="24"/>
          <w:szCs w:val="24"/>
        </w:rPr>
        <w:instrText>ADDIN CSL_CITATION {"citationItems":[{"id":"ITEM-1","itemData":{"DOI":"10.1016/J.AUTCON.2020.103536","ISSN":"09265805","abstract":"The construction of a metro system in groundwater-rich stratums can cause an imbalance in groundwater levels. This study presents an automatic pumping-recharge system (APRS) to maintain groundwater balance during dewatering, thereby protecting the environment. The APRS overcomes the limitations of the traditional pumping-recharge operation performed manually by workers. Further, in traditional pumping-recharge operations, a large proportion of the pumped water is wasted by draining it into the sewerage system; this is because of the lack of an efficient application for groundwater recharge. The developed APRS system includes three subsystems: i) a pressure control system, ii) an integrated process system, and iii) an intelligent electronic control system. The APRS can not only balance the groundwater system but also control the settlement during underground construction. The proposed system has been employed in the construction of a metro station in Jinan city, which has a dense distribution of spring groups. The efficiency of the APRS was verified by field observations.","author":[{"dropping-particle":"","family":"Shen","given":"Shui Long","non-dropping-particle":"","parse-names":false,"suffix":""},{"dropping-particle":"","family":"Lyu","given":"Hai Min","non-dropping-particle":"","parse-names":false,"suffix":""},{"dropping-particle":"","family":"Zhou","given":"Annan","non-dropping-particle":"","parse-names":false,"suffix":""},{"dropping-particle":"","family":"Lu","given":"Lin Hai","non-dropping-particle":"","parse-names":false,"suffix":""},{"dropping-particle":"","family":"Li","given":"Gang","non-dropping-particle":"","parse-names":false,"suffix":""},{"dropping-particle":"","family":"Hu","given":"Bing Bing","non-dropping-particle":"","parse-names":false,"suffix":""}],"container-title":"Automation in Construction","id":"ITEM-1","issued":{"date-parts":[["2021","3","1"]]},"publisher":"Elsevier B.V.","title":"Automatic control of groundwater balance to combat dewatering during construction of a metro system","type":"article-journal","volume":"123"},"uris":["http://www.mendeley.com/documents/?uuid=a8c2453f-48e8-3486-b939-cf2413250122"]}],"mendeley":{"formattedCitation":"[10]","plainTextFormattedCitation":"[10]"},"properties":{"noteIndex":0},"schema":"https://github.com/citation-style-language/schema/raw/master/csl-citation.json"}</w:instrText>
      </w:r>
      <w:r w:rsidR="000D0256">
        <w:rPr>
          <w:rFonts w:ascii="Garamond" w:hAnsi="Garamond"/>
          <w:sz w:val="24"/>
          <w:szCs w:val="24"/>
        </w:rPr>
        <w:fldChar w:fldCharType="separate"/>
      </w:r>
      <w:r w:rsidR="000D0256" w:rsidRPr="000D0256">
        <w:rPr>
          <w:rFonts w:ascii="Garamond" w:hAnsi="Garamond"/>
          <w:noProof/>
          <w:sz w:val="24"/>
          <w:szCs w:val="24"/>
        </w:rPr>
        <w:t>[10]</w:t>
      </w:r>
      <w:r w:rsidR="000D0256">
        <w:rPr>
          <w:rFonts w:ascii="Garamond" w:hAnsi="Garamond"/>
          <w:sz w:val="24"/>
          <w:szCs w:val="24"/>
        </w:rPr>
        <w:fldChar w:fldCharType="end"/>
      </w:r>
      <w:r w:rsidRPr="00AE5F42">
        <w:rPr>
          <w:rFonts w:ascii="Garamond" w:hAnsi="Garamond"/>
          <w:sz w:val="24"/>
          <w:szCs w:val="24"/>
        </w:rPr>
        <w:t>.</w:t>
      </w:r>
    </w:p>
    <w:p w14:paraId="72EA0208" w14:textId="57BABAA6" w:rsidR="0083501F" w:rsidRPr="00AE5F42" w:rsidRDefault="0083501F" w:rsidP="00C01B70">
      <w:pPr>
        <w:spacing w:after="0" w:line="240" w:lineRule="auto"/>
        <w:ind w:firstLine="720"/>
        <w:jc w:val="both"/>
        <w:rPr>
          <w:rFonts w:ascii="Garamond" w:hAnsi="Garamond"/>
          <w:sz w:val="24"/>
          <w:szCs w:val="24"/>
        </w:rPr>
      </w:pPr>
      <w:r w:rsidRPr="00AE5F42">
        <w:rPr>
          <w:rFonts w:ascii="Garamond" w:hAnsi="Garamond"/>
          <w:sz w:val="24"/>
          <w:szCs w:val="24"/>
        </w:rPr>
        <w:t xml:space="preserve">Hayatabad, a planned township in the city of Peshawar, is home to dozens of mosques as well as green belts, gardens, and public parks. The potential to harness ablution water from mosques for </w:t>
      </w:r>
      <w:r>
        <w:rPr>
          <w:rFonts w:ascii="Garamond" w:hAnsi="Garamond"/>
          <w:sz w:val="24"/>
          <w:szCs w:val="24"/>
        </w:rPr>
        <w:t xml:space="preserve">the </w:t>
      </w:r>
      <w:r w:rsidRPr="00AE5F42">
        <w:rPr>
          <w:rFonts w:ascii="Garamond" w:hAnsi="Garamond"/>
          <w:sz w:val="24"/>
          <w:szCs w:val="24"/>
        </w:rPr>
        <w:t>irrigation of local landscapes remains largely untapped in this area</w:t>
      </w:r>
      <w:r w:rsidR="006D68DA">
        <w:rPr>
          <w:rFonts w:ascii="Garamond" w:hAnsi="Garamond"/>
          <w:sz w:val="24"/>
          <w:szCs w:val="24"/>
        </w:rPr>
        <w:t xml:space="preserve"> </w:t>
      </w:r>
      <w:r w:rsidR="006D68DA">
        <w:rPr>
          <w:rFonts w:ascii="Garamond" w:hAnsi="Garamond"/>
          <w:sz w:val="24"/>
          <w:szCs w:val="24"/>
        </w:rPr>
        <w:fldChar w:fldCharType="begin" w:fldLock="1"/>
      </w:r>
      <w:r w:rsidR="000D0256">
        <w:rPr>
          <w:rFonts w:ascii="Garamond" w:hAnsi="Garamond"/>
          <w:sz w:val="24"/>
          <w:szCs w:val="24"/>
        </w:rPr>
        <w:instrText>ADDIN CSL_CITATION {"citationItems":[{"id":"ITEM-1","itemData":{"DOI":"10.1051/MATECCONF/201710305003","ISSN":"2261236X","abstract":"The present study aimed to reuse of ablution water for washing peat soil in order to reduce the concentrations of heavy metals in these soils which might effect negatively on the plant growth. The washing process design was similar to horizontal subsurface flow constructed wetlands (HSSFCW) consist of layers of peat and sand soil and surrounded by gravel on both sides. Strelitzia sp. was used to detect the presence negative effect of the washing process on the morphological characteristics of the plants. The physical and chemical characteristics of ablution water was examined before and after the washing process by using Inductively Couple Plasma- Mass Spectrometer (ICP-MS) Atomic Absorption Spectrometer (AAS). The characteristics of peat soil before and after the washing process were examined by using X-Ray Fluorescence (XRF). The results revealed that the percentage of FeO3in peat soil reduced from 45.80 to 1.01%. The percentage of SiO2 in sand soil dropped from 87.7 to 67.10%. Parameters of ablution water resulted from the washing process which including Biological Oxygen Demand (BOD5) and heavy metals have increased but still within the standard limits for the disposal of ablution water into the environment. No atrophy was observed in Strelitzia sp. leaves, indicating the ability of plant to grow normally. It can be concluded that the utilization of ablution water in the washing of peat soil has improve the characteristics of the soil without effect on their organic constitutes.","author":[{"dropping-particle":"","family":"Radin Mohamed","given":"Radin Maya Saphira","non-dropping-particle":"","parse-names":false,"suffix":""},{"dropping-particle":"","family":"Al-Gheethi","given":"Aa","non-dropping-particle":"","parse-names":false,"suffix":""},{"dropping-particle":"","family":"Rahman","given":"Junita Abdul","non-dropping-particle":"","parse-names":false,"suffix":""},{"dropping-particle":"","family":"Mohd Kassim","given":"Amir Hashim","non-dropping-particle":"","parse-names":false,"suffix":""},{"dropping-particle":"","family":"Musa","given":"Sabariah","non-dropping-particle":"","parse-names":false,"suffix":""}],"container-title":"MATEC Web of Conferences","id":"ITEM-1","issued":{"date-parts":[["2017","4","5"]]},"publisher":"EDP Sciences","title":"Reuse of Ablution Water to Improve Peat Soil Characteristics for Ornamental Landscape Plants Cultivation","type":"article-journal","volume":"103"},"uris":["http://www.mendeley.com/documents/?uuid=f4adabcb-2e28-3179-bd10-a6ee4a4a9545"]}],"mendeley":{"formattedCitation":"[11]","plainTextFormattedCitation":"[11]","previouslyFormattedCitation":"[10]"},"properties":{"noteIndex":0},"schema":"https://github.com/citation-style-language/schema/raw/master/csl-citation.json"}</w:instrText>
      </w:r>
      <w:r w:rsidR="006D68DA">
        <w:rPr>
          <w:rFonts w:ascii="Garamond" w:hAnsi="Garamond"/>
          <w:sz w:val="24"/>
          <w:szCs w:val="24"/>
        </w:rPr>
        <w:fldChar w:fldCharType="separate"/>
      </w:r>
      <w:r w:rsidR="000D0256" w:rsidRPr="000D0256">
        <w:rPr>
          <w:rFonts w:ascii="Garamond" w:hAnsi="Garamond"/>
          <w:noProof/>
          <w:sz w:val="24"/>
          <w:szCs w:val="24"/>
        </w:rPr>
        <w:t>[11]</w:t>
      </w:r>
      <w:r w:rsidR="006D68DA">
        <w:rPr>
          <w:rFonts w:ascii="Garamond" w:hAnsi="Garamond"/>
          <w:sz w:val="24"/>
          <w:szCs w:val="24"/>
        </w:rPr>
        <w:fldChar w:fldCharType="end"/>
      </w:r>
      <w:r w:rsidR="006D68DA">
        <w:rPr>
          <w:rFonts w:ascii="Garamond" w:hAnsi="Garamond"/>
          <w:sz w:val="24"/>
          <w:szCs w:val="24"/>
        </w:rPr>
        <w:t xml:space="preserve">, </w:t>
      </w:r>
      <w:r w:rsidR="006D68DA">
        <w:rPr>
          <w:rFonts w:ascii="Garamond" w:hAnsi="Garamond"/>
          <w:sz w:val="24"/>
          <w:szCs w:val="24"/>
        </w:rPr>
        <w:fldChar w:fldCharType="begin" w:fldLock="1"/>
      </w:r>
      <w:r w:rsidR="000D0256">
        <w:rPr>
          <w:rFonts w:ascii="Garamond" w:hAnsi="Garamond"/>
          <w:sz w:val="24"/>
          <w:szCs w:val="24"/>
        </w:rPr>
        <w:instrText>ADDIN CSL_CITATION {"citationItems":[{"id":"ITEM-1","itemData":{"DOI":"10.3390/APP12105210","ISSN":"2076-3417","abstract":"This study presents an evaluation of climate and land-use changes induced impacts on water resources of Multan City, Pakistan. Statistical Down Scaling Model (SDSM) and Geographical Information System (GIS) are used for climate change scenario and spatial analyses. Hydrologic Engineering Center’s Hydraulic Modeling System (HEC-HMS) model is used for rainfall-runoff simulation. The investigated results show significant changes in climatological parameters, i.e., an increase in temperature and decrease in precipitation over the last 40 years, and a significant urban expansion is also observed from 2000 to 2020. The increase in temperature and urbanization has reduced the infiltration rate into the soil and increased the runoff flows. The HEC-HMS results indicate that surface runoff gradually increased over the last two decades. Consequently, the depth of the water table in the shallow aquifer has declined by about 0.3 m/year. Projected climate indices stipulate that groundwater depletion will occur in the future. Arsenic levels have exceeded the permissible limit owing to unplanned urban expansion and open dumping of industrial effluents. The results can help an efficient water resources management in Multan.","author":[{"dropping-particle":"","family":"Abbas","given":"Mohsin","non-dropping-particle":"","parse-names":false,"suffix":""},{"dropping-particle":"","family":"Atangana Njock","given":"Pierre Guy","non-dropping-particle":"","parse-names":false,"suffix":""},{"dropping-particle":"","family":"Wang","given":"Yanning","non-dropping-particle":"","parse-names":false,"suffix":""}],"container-title":"Applied Sciences 2022, Vol. 12, Page 5210","id":"ITEM-1","issue":"10","issued":{"date-parts":[["2022","5","21"]]},"page":"5210","publisher":"Multidisciplinary Digital Publishing Institute","title":"Influence of Climate Change and Land-Use Alteration on Water Resources in Multan, Pakistan","type":"article-journal","volume":"12"},"uris":["http://www.mendeley.com/documents/?uuid=83f5ce15-32f5-362f-beaa-6bbcab36b926"]}],"mendeley":{"formattedCitation":"[12]","plainTextFormattedCitation":"[12]","previouslyFormattedCitation":"[11]"},"properties":{"noteIndex":0},"schema":"https://github.com/citation-style-language/schema/raw/master/csl-citation.json"}</w:instrText>
      </w:r>
      <w:r w:rsidR="006D68DA">
        <w:rPr>
          <w:rFonts w:ascii="Garamond" w:hAnsi="Garamond"/>
          <w:sz w:val="24"/>
          <w:szCs w:val="24"/>
        </w:rPr>
        <w:fldChar w:fldCharType="separate"/>
      </w:r>
      <w:r w:rsidR="000D0256" w:rsidRPr="000D0256">
        <w:rPr>
          <w:rFonts w:ascii="Garamond" w:hAnsi="Garamond"/>
          <w:noProof/>
          <w:sz w:val="24"/>
          <w:szCs w:val="24"/>
        </w:rPr>
        <w:t>[12]</w:t>
      </w:r>
      <w:r w:rsidR="006D68DA">
        <w:rPr>
          <w:rFonts w:ascii="Garamond" w:hAnsi="Garamond"/>
          <w:sz w:val="24"/>
          <w:szCs w:val="24"/>
        </w:rPr>
        <w:fldChar w:fldCharType="end"/>
      </w:r>
      <w:r w:rsidRPr="00AE5F42">
        <w:rPr>
          <w:rFonts w:ascii="Garamond" w:hAnsi="Garamond"/>
          <w:sz w:val="24"/>
          <w:szCs w:val="24"/>
        </w:rPr>
        <w:t>. By integrating greywater reuse within the existing urban structure, municipalities can reduce stress on freshwater resources, sl</w:t>
      </w:r>
      <w:r>
        <w:rPr>
          <w:rFonts w:ascii="Garamond" w:hAnsi="Garamond"/>
          <w:sz w:val="24"/>
          <w:szCs w:val="24"/>
        </w:rPr>
        <w:t>a</w:t>
      </w:r>
      <w:r w:rsidRPr="00AE5F42">
        <w:rPr>
          <w:rFonts w:ascii="Garamond" w:hAnsi="Garamond"/>
          <w:sz w:val="24"/>
          <w:szCs w:val="24"/>
        </w:rPr>
        <w:t xml:space="preserve">sh utility costs, and encourage environmentally conscious practices in line with both religious and sustainable development </w:t>
      </w:r>
      <w:r w:rsidRPr="001D6EAD">
        <w:rPr>
          <w:rFonts w:ascii="Garamond" w:hAnsi="Garamond"/>
          <w:sz w:val="24"/>
          <w:szCs w:val="24"/>
        </w:rPr>
        <w:t xml:space="preserve">principles </w:t>
      </w:r>
      <w:r w:rsidR="001C3F6E">
        <w:rPr>
          <w:rFonts w:ascii="Garamond" w:hAnsi="Garamond"/>
          <w:sz w:val="24"/>
          <w:szCs w:val="24"/>
        </w:rPr>
        <w:fldChar w:fldCharType="begin" w:fldLock="1"/>
      </w:r>
      <w:r w:rsidR="000D0256">
        <w:rPr>
          <w:rFonts w:ascii="Garamond" w:hAnsi="Garamond"/>
          <w:sz w:val="24"/>
          <w:szCs w:val="24"/>
        </w:rPr>
        <w:instrText>ADDIN CSL_CITATION {"citationItems":[{"id":"ITEM-1","itemData":{"author":[{"dropping-particle":"","family":"Nazish Huma Khan, Mohammad Nafees, Tooba Saeed, Fazli Zuljajal","given":"","non-dropping-particle":"","parse-names":false,"suffix":""}],"container-title":"Research Square","id":"ITEM-1","issued":{"date-parts":[["2023"]]},"title":"Marble Production and Environmental Pressure: A Case Study of Hayatabad Industrial Estate Peshawar, Pakistan","type":"article-journal"},"uris":["http://www.mendeley.com/documents/?uuid=b8f3678a-8099-439c-857d-8f276aff3415"]}],"mendeley":{"formattedCitation":"[13]","plainTextFormattedCitation":"[13]","previouslyFormattedCitation":"[12]"},"properties":{"noteIndex":0},"schema":"https://github.com/citation-style-language/schema/raw/master/csl-citation.json"}</w:instrText>
      </w:r>
      <w:r w:rsidR="001C3F6E">
        <w:rPr>
          <w:rFonts w:ascii="Garamond" w:hAnsi="Garamond"/>
          <w:sz w:val="24"/>
          <w:szCs w:val="24"/>
        </w:rPr>
        <w:fldChar w:fldCharType="separate"/>
      </w:r>
      <w:r w:rsidR="000D0256" w:rsidRPr="000D0256">
        <w:rPr>
          <w:rFonts w:ascii="Garamond" w:hAnsi="Garamond"/>
          <w:noProof/>
          <w:sz w:val="24"/>
          <w:szCs w:val="24"/>
        </w:rPr>
        <w:t>[13]</w:t>
      </w:r>
      <w:r w:rsidR="001C3F6E">
        <w:rPr>
          <w:rFonts w:ascii="Garamond" w:hAnsi="Garamond"/>
          <w:sz w:val="24"/>
          <w:szCs w:val="24"/>
        </w:rPr>
        <w:fldChar w:fldCharType="end"/>
      </w:r>
      <w:r w:rsidRPr="00AE5F42">
        <w:rPr>
          <w:rFonts w:ascii="Garamond" w:hAnsi="Garamond"/>
          <w:sz w:val="24"/>
          <w:szCs w:val="24"/>
        </w:rPr>
        <w:t>.</w:t>
      </w:r>
    </w:p>
    <w:p w14:paraId="165CDD27" w14:textId="77777777" w:rsidR="0083501F" w:rsidRPr="00AE5F42" w:rsidRDefault="0083501F" w:rsidP="00C01B70">
      <w:pPr>
        <w:spacing w:after="0" w:line="240" w:lineRule="auto"/>
        <w:ind w:firstLine="720"/>
        <w:jc w:val="both"/>
        <w:rPr>
          <w:rFonts w:ascii="Garamond" w:hAnsi="Garamond"/>
          <w:sz w:val="24"/>
          <w:szCs w:val="24"/>
        </w:rPr>
      </w:pPr>
      <w:r w:rsidRPr="00AE5F42">
        <w:rPr>
          <w:rFonts w:ascii="Garamond" w:hAnsi="Garamond"/>
          <w:sz w:val="24"/>
          <w:szCs w:val="24"/>
        </w:rPr>
        <w:t>This study explores the feasibility of reusing ablution water from mosques for landscaping in Hayatabad, Peshawar, as a practical and culturally appropriate climate change adaptation strategy. The research aims to estimate the volume of ablution water generated across selected mosques and assess its physicochemical and microbiological characteristics to evaluate its suitability for non-potable reuse in landscape irrigation. It also examines the water demand for maintaining green spaces in Hayatabad and matches it with the available greywater supply to assess potential coverage. In addition to its environmental benefits, reusing ablution water provides substantial economic advantages. It decreases dependence on expensive freshwater supplies, reduces the need for extensive transportation or pumping systems by utilizing water close to its source and point of use, and eases the burden on rapidly depleting groundwater reserves. The findings emphasize how low-cost, locally sourced solutions can enhance water resilience, reduce environmental impact.</w:t>
      </w:r>
    </w:p>
    <w:p w14:paraId="039CD88B" w14:textId="77777777" w:rsidR="0083501F" w:rsidRPr="00AE5F42" w:rsidRDefault="0083501F" w:rsidP="00C01B70">
      <w:pPr>
        <w:spacing w:after="0" w:line="240" w:lineRule="auto"/>
        <w:jc w:val="both"/>
        <w:rPr>
          <w:rFonts w:ascii="Garamond" w:hAnsi="Garamond"/>
          <w:b/>
          <w:bCs/>
          <w:sz w:val="24"/>
          <w:szCs w:val="24"/>
        </w:rPr>
      </w:pPr>
      <w:r w:rsidRPr="00AE5F42">
        <w:rPr>
          <w:rFonts w:ascii="Garamond" w:hAnsi="Garamond"/>
          <w:b/>
          <w:bCs/>
          <w:sz w:val="24"/>
          <w:szCs w:val="24"/>
        </w:rPr>
        <w:t xml:space="preserve">Study </w:t>
      </w:r>
      <w:r>
        <w:rPr>
          <w:rFonts w:ascii="Garamond" w:hAnsi="Garamond"/>
          <w:b/>
          <w:bCs/>
          <w:sz w:val="24"/>
          <w:szCs w:val="24"/>
        </w:rPr>
        <w:t>A</w:t>
      </w:r>
      <w:r w:rsidRPr="00AE5F42">
        <w:rPr>
          <w:rFonts w:ascii="Garamond" w:hAnsi="Garamond"/>
          <w:b/>
          <w:bCs/>
          <w:sz w:val="24"/>
          <w:szCs w:val="24"/>
        </w:rPr>
        <w:t>rea, Data Collection</w:t>
      </w:r>
      <w:r>
        <w:rPr>
          <w:rFonts w:ascii="Garamond" w:hAnsi="Garamond"/>
          <w:b/>
          <w:bCs/>
          <w:sz w:val="24"/>
          <w:szCs w:val="24"/>
        </w:rPr>
        <w:t>,</w:t>
      </w:r>
      <w:r w:rsidRPr="00AE5F42">
        <w:rPr>
          <w:rFonts w:ascii="Garamond" w:hAnsi="Garamond"/>
          <w:b/>
          <w:bCs/>
          <w:sz w:val="24"/>
          <w:szCs w:val="24"/>
        </w:rPr>
        <w:t xml:space="preserve"> and Methods</w:t>
      </w:r>
      <w:r>
        <w:rPr>
          <w:rFonts w:ascii="Garamond" w:hAnsi="Garamond"/>
          <w:b/>
          <w:bCs/>
          <w:sz w:val="24"/>
          <w:szCs w:val="24"/>
        </w:rPr>
        <w:t>:</w:t>
      </w:r>
    </w:p>
    <w:p w14:paraId="332C08E4" w14:textId="77777777" w:rsidR="0083501F" w:rsidRPr="00AE5F42" w:rsidRDefault="0083501F" w:rsidP="00C01B70">
      <w:pPr>
        <w:spacing w:after="0" w:line="240" w:lineRule="auto"/>
        <w:jc w:val="both"/>
        <w:rPr>
          <w:rFonts w:ascii="Garamond" w:hAnsi="Garamond"/>
          <w:b/>
          <w:bCs/>
          <w:sz w:val="24"/>
          <w:szCs w:val="24"/>
        </w:rPr>
      </w:pPr>
      <w:r w:rsidRPr="00AE5F42">
        <w:rPr>
          <w:rFonts w:ascii="Garamond" w:hAnsi="Garamond"/>
          <w:b/>
          <w:bCs/>
          <w:sz w:val="24"/>
          <w:szCs w:val="24"/>
        </w:rPr>
        <w:t>Study Area</w:t>
      </w:r>
      <w:r>
        <w:rPr>
          <w:rFonts w:ascii="Garamond" w:hAnsi="Garamond"/>
          <w:b/>
          <w:bCs/>
          <w:sz w:val="24"/>
          <w:szCs w:val="24"/>
        </w:rPr>
        <w:t>:</w:t>
      </w:r>
    </w:p>
    <w:p w14:paraId="19DD955F" w14:textId="0FB17167" w:rsidR="0083501F" w:rsidRDefault="0083501F" w:rsidP="00CE21E3">
      <w:pPr>
        <w:spacing w:after="0" w:line="240" w:lineRule="auto"/>
        <w:ind w:firstLine="720"/>
        <w:jc w:val="both"/>
        <w:rPr>
          <w:rFonts w:ascii="Garamond" w:hAnsi="Garamond"/>
          <w:sz w:val="24"/>
          <w:szCs w:val="24"/>
        </w:rPr>
      </w:pPr>
      <w:r w:rsidRPr="00AE5F42">
        <w:rPr>
          <w:rFonts w:ascii="Garamond" w:hAnsi="Garamond"/>
          <w:sz w:val="24"/>
          <w:szCs w:val="24"/>
        </w:rPr>
        <w:t>Hayatabad is a well-planned residential township located in the southwestern part of Peshawar, the capital city of Khyber Pakhtunkhwa (KPK), Pakistan</w:t>
      </w:r>
      <w:r>
        <w:rPr>
          <w:rFonts w:ascii="Garamond" w:hAnsi="Garamond"/>
          <w:sz w:val="24"/>
          <w:szCs w:val="24"/>
        </w:rPr>
        <w:t>,</w:t>
      </w:r>
      <w:r w:rsidRPr="00AE5F42">
        <w:rPr>
          <w:rFonts w:ascii="Garamond" w:hAnsi="Garamond"/>
          <w:sz w:val="24"/>
          <w:szCs w:val="24"/>
        </w:rPr>
        <w:t xml:space="preserve"> as shown in </w:t>
      </w:r>
      <w:r w:rsidRPr="00AE5F42">
        <w:rPr>
          <w:rFonts w:ascii="Garamond" w:hAnsi="Garamond"/>
          <w:color w:val="000000" w:themeColor="text1"/>
          <w:sz w:val="24"/>
          <w:szCs w:val="24"/>
        </w:rPr>
        <w:t>Figure 1</w:t>
      </w:r>
      <w:r>
        <w:rPr>
          <w:rFonts w:ascii="Garamond" w:hAnsi="Garamond"/>
          <w:color w:val="000000" w:themeColor="text1"/>
          <w:sz w:val="24"/>
          <w:szCs w:val="24"/>
        </w:rPr>
        <w:t>,</w:t>
      </w:r>
      <w:r w:rsidRPr="00AE5F42">
        <w:rPr>
          <w:rFonts w:ascii="Garamond" w:hAnsi="Garamond"/>
          <w:color w:val="000000" w:themeColor="text1"/>
          <w:sz w:val="24"/>
          <w:szCs w:val="24"/>
        </w:rPr>
        <w:t xml:space="preserve"> which </w:t>
      </w:r>
      <w:r>
        <w:rPr>
          <w:rFonts w:ascii="Garamond" w:hAnsi="Garamond"/>
          <w:color w:val="000000" w:themeColor="text1"/>
          <w:sz w:val="24"/>
          <w:szCs w:val="24"/>
        </w:rPr>
        <w:t>s</w:t>
      </w:r>
      <w:r w:rsidRPr="00AE5F42">
        <w:rPr>
          <w:rFonts w:ascii="Garamond" w:hAnsi="Garamond"/>
          <w:color w:val="000000" w:themeColor="text1"/>
          <w:sz w:val="24"/>
          <w:szCs w:val="24"/>
        </w:rPr>
        <w:t xml:space="preserve">hows the township’s boundary, main phases (Phase I–VII), major roads, and distribution of green belts. </w:t>
      </w:r>
      <w:r w:rsidRPr="00AE5F42">
        <w:rPr>
          <w:rFonts w:ascii="Garamond" w:hAnsi="Garamond"/>
          <w:sz w:val="24"/>
          <w:szCs w:val="24"/>
        </w:rPr>
        <w:t xml:space="preserve">Established in the 1970s, the area is recognized for its systematic layout, modern infrastructure, and the integration of essential public amenities such as schools, hospitals, parks, and mosques. The township is divided into seven phases (Phase I to Phase VII), each further subdivided into sectors, providing a structured and manageable framework for urban planning. Situated at coordinates approximately 33.974° N latitude and 71.454° E longitude, Hayatabad lies near the western boundary of Peshawar, close to the tribal areas and </w:t>
      </w:r>
      <w:r w:rsidRPr="00AE5F42">
        <w:rPr>
          <w:rFonts w:ascii="Garamond" w:hAnsi="Garamond"/>
          <w:sz w:val="24"/>
          <w:szCs w:val="24"/>
        </w:rPr>
        <w:lastRenderedPageBreak/>
        <w:t xml:space="preserve">the Pak-Afghan border. The area serves as a hub of cultural, educational, and economic activities, housing both residents and a growing population of Afghan refugees. The area is also known for its extensive green belts, numerous public parks, and tree-lined roads, which enhance its environmental quality and visual appeal. </w:t>
      </w:r>
    </w:p>
    <w:p w14:paraId="44F5818F" w14:textId="19782983" w:rsidR="00CE21E3" w:rsidRPr="00AE5F42" w:rsidRDefault="00CE21E3" w:rsidP="00CE21E3">
      <w:pPr>
        <w:spacing w:after="0" w:line="240" w:lineRule="auto"/>
        <w:jc w:val="center"/>
        <w:rPr>
          <w:rFonts w:ascii="Garamond" w:hAnsi="Garamond"/>
          <w:sz w:val="24"/>
          <w:szCs w:val="24"/>
        </w:rPr>
      </w:pPr>
      <w:r w:rsidRPr="00CE21E3">
        <w:rPr>
          <w:rFonts w:ascii="Garamond" w:hAnsi="Garamond" w:cs="Times New Roman"/>
          <w:b/>
          <w:bCs/>
          <w:noProof/>
          <w:sz w:val="24"/>
          <w:szCs w:val="24"/>
        </w:rPr>
        <w:drawing>
          <wp:inline distT="0" distB="0" distL="0" distR="0" wp14:anchorId="31DD42E9" wp14:editId="4BA58792">
            <wp:extent cx="3766782" cy="2390441"/>
            <wp:effectExtent l="0" t="0" r="571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3189" cy="2432583"/>
                    </a:xfrm>
                    <a:prstGeom prst="rect">
                      <a:avLst/>
                    </a:prstGeom>
                  </pic:spPr>
                </pic:pic>
              </a:graphicData>
            </a:graphic>
          </wp:inline>
        </w:drawing>
      </w:r>
    </w:p>
    <w:p w14:paraId="64B80B97" w14:textId="445CFA36" w:rsidR="0083501F" w:rsidRPr="00CE21E3" w:rsidRDefault="0083501F" w:rsidP="00CE21E3">
      <w:pPr>
        <w:pStyle w:val="Caption"/>
        <w:spacing w:after="0"/>
        <w:jc w:val="center"/>
        <w:rPr>
          <w:rFonts w:ascii="Garamond" w:hAnsi="Garamond"/>
          <w:b w:val="0"/>
          <w:bCs w:val="0"/>
          <w:i/>
          <w:iCs/>
          <w:color w:val="000000" w:themeColor="text1"/>
          <w:sz w:val="24"/>
          <w:szCs w:val="24"/>
        </w:rPr>
      </w:pPr>
      <w:r w:rsidRPr="00AE5F42">
        <w:rPr>
          <w:rFonts w:ascii="Garamond" w:hAnsi="Garamond"/>
          <w:color w:val="000000" w:themeColor="text1"/>
          <w:sz w:val="24"/>
          <w:szCs w:val="24"/>
        </w:rPr>
        <w:t>Figure</w:t>
      </w:r>
      <w:r>
        <w:rPr>
          <w:rFonts w:ascii="Garamond" w:hAnsi="Garamond"/>
          <w:b w:val="0"/>
          <w:bCs w:val="0"/>
          <w:i/>
          <w:iCs/>
          <w:color w:val="000000" w:themeColor="text1"/>
          <w:sz w:val="24"/>
          <w:szCs w:val="24"/>
        </w:rPr>
        <w:t xml:space="preserve"> </w:t>
      </w:r>
      <w:r w:rsidRPr="00AE5F42">
        <w:rPr>
          <w:rFonts w:ascii="Garamond" w:hAnsi="Garamond"/>
          <w:b w:val="0"/>
          <w:bCs w:val="0"/>
          <w:i/>
          <w:iCs/>
          <w:color w:val="000000" w:themeColor="text1"/>
          <w:sz w:val="24"/>
          <w:szCs w:val="24"/>
        </w:rPr>
        <w:fldChar w:fldCharType="begin"/>
      </w:r>
      <w:r w:rsidRPr="00AE5F42">
        <w:rPr>
          <w:rFonts w:ascii="Garamond" w:hAnsi="Garamond"/>
          <w:color w:val="000000" w:themeColor="text1"/>
          <w:sz w:val="24"/>
          <w:szCs w:val="24"/>
        </w:rPr>
        <w:instrText xml:space="preserve"> SEQ Figure \* ARABIC \s 1 </w:instrText>
      </w:r>
      <w:r w:rsidRPr="00AE5F42">
        <w:rPr>
          <w:rFonts w:ascii="Garamond" w:hAnsi="Garamond"/>
          <w:b w:val="0"/>
          <w:bCs w:val="0"/>
          <w:i/>
          <w:iCs/>
          <w:color w:val="000000" w:themeColor="text1"/>
          <w:sz w:val="24"/>
          <w:szCs w:val="24"/>
        </w:rPr>
        <w:fldChar w:fldCharType="separate"/>
      </w:r>
      <w:r w:rsidR="002666D3">
        <w:rPr>
          <w:rFonts w:ascii="Garamond" w:hAnsi="Garamond"/>
          <w:noProof/>
          <w:color w:val="000000" w:themeColor="text1"/>
          <w:sz w:val="24"/>
          <w:szCs w:val="24"/>
        </w:rPr>
        <w:t>1</w:t>
      </w:r>
      <w:r w:rsidRPr="00AE5F42">
        <w:rPr>
          <w:rFonts w:ascii="Garamond" w:hAnsi="Garamond"/>
          <w:b w:val="0"/>
          <w:bCs w:val="0"/>
          <w:i/>
          <w:iCs/>
          <w:color w:val="000000" w:themeColor="text1"/>
          <w:sz w:val="24"/>
          <w:szCs w:val="24"/>
        </w:rPr>
        <w:fldChar w:fldCharType="end"/>
      </w:r>
      <w:r w:rsidR="00CE21E3">
        <w:rPr>
          <w:rFonts w:ascii="Garamond" w:hAnsi="Garamond"/>
          <w:color w:val="000000" w:themeColor="text1"/>
          <w:sz w:val="24"/>
          <w:szCs w:val="24"/>
        </w:rPr>
        <w:t>.</w:t>
      </w:r>
      <w:r w:rsidRPr="00AE5F42">
        <w:rPr>
          <w:rFonts w:ascii="Garamond" w:hAnsi="Garamond"/>
          <w:color w:val="000000" w:themeColor="text1"/>
          <w:sz w:val="24"/>
          <w:szCs w:val="24"/>
        </w:rPr>
        <w:t xml:space="preserve"> </w:t>
      </w:r>
      <w:r w:rsidRPr="00CE21E3">
        <w:rPr>
          <w:rFonts w:ascii="Garamond" w:hAnsi="Garamond"/>
          <w:b w:val="0"/>
          <w:bCs w:val="0"/>
          <w:color w:val="000000" w:themeColor="text1"/>
          <w:sz w:val="24"/>
          <w:szCs w:val="24"/>
        </w:rPr>
        <w:t>Location map of Hayatabad, Peshawar</w:t>
      </w:r>
    </w:p>
    <w:p w14:paraId="03A194E6" w14:textId="77777777" w:rsidR="0083501F" w:rsidRPr="00AE5F42" w:rsidRDefault="0083501F" w:rsidP="00CE21E3">
      <w:pPr>
        <w:spacing w:after="0" w:line="240" w:lineRule="auto"/>
        <w:jc w:val="both"/>
        <w:rPr>
          <w:rFonts w:ascii="Garamond" w:hAnsi="Garamond"/>
          <w:b/>
          <w:bCs/>
          <w:sz w:val="24"/>
          <w:szCs w:val="24"/>
        </w:rPr>
      </w:pPr>
      <w:r w:rsidRPr="00AE5F42">
        <w:rPr>
          <w:rFonts w:ascii="Garamond" w:hAnsi="Garamond"/>
          <w:b/>
          <w:bCs/>
          <w:sz w:val="24"/>
          <w:szCs w:val="24"/>
        </w:rPr>
        <w:t xml:space="preserve">Data Collection and </w:t>
      </w:r>
      <w:r>
        <w:rPr>
          <w:rFonts w:ascii="Garamond" w:hAnsi="Garamond"/>
          <w:b/>
          <w:bCs/>
          <w:sz w:val="24"/>
          <w:szCs w:val="24"/>
        </w:rPr>
        <w:t>M</w:t>
      </w:r>
      <w:r w:rsidRPr="00AE5F42">
        <w:rPr>
          <w:rFonts w:ascii="Garamond" w:hAnsi="Garamond"/>
          <w:b/>
          <w:bCs/>
          <w:sz w:val="24"/>
          <w:szCs w:val="24"/>
        </w:rPr>
        <w:t>ethods</w:t>
      </w:r>
      <w:r>
        <w:rPr>
          <w:rFonts w:ascii="Garamond" w:hAnsi="Garamond"/>
          <w:b/>
          <w:bCs/>
          <w:sz w:val="24"/>
          <w:szCs w:val="24"/>
        </w:rPr>
        <w:t>:</w:t>
      </w:r>
    </w:p>
    <w:p w14:paraId="68D9E463" w14:textId="77777777" w:rsidR="0083501F" w:rsidRPr="00AE5F42" w:rsidRDefault="0083501F" w:rsidP="00CE21E3">
      <w:pPr>
        <w:spacing w:after="0" w:line="240" w:lineRule="auto"/>
        <w:ind w:firstLine="720"/>
        <w:jc w:val="both"/>
        <w:rPr>
          <w:rFonts w:ascii="Garamond" w:eastAsia="Times New Roman" w:hAnsi="Garamond" w:cstheme="minorHAnsi"/>
          <w:bCs/>
          <w:sz w:val="24"/>
          <w:szCs w:val="24"/>
        </w:rPr>
      </w:pPr>
      <w:r w:rsidRPr="00AE5F42">
        <w:rPr>
          <w:rFonts w:ascii="Garamond" w:eastAsia="Times New Roman" w:hAnsi="Garamond" w:cstheme="minorHAnsi"/>
          <w:bCs/>
          <w:sz w:val="24"/>
          <w:szCs w:val="24"/>
        </w:rPr>
        <w:t xml:space="preserve">To evaluate the irrigation requirements of Hayatabad’s green belts, a combination of techniques was employed, including satellite imagery analysis, field surveys, and data retrieval from the Peshawar Development Authority. Water requirements per unit area were computed and subsequently scaled up to determine the total water demand. The number of tankers needed was estimated by dividing the total water requirement by the capacity of a single tanker. Daily water consumption was calculated by multiplying the per-unit area requirement </w:t>
      </w:r>
      <w:r>
        <w:rPr>
          <w:rFonts w:ascii="Garamond" w:eastAsia="Times New Roman" w:hAnsi="Garamond" w:cstheme="minorHAnsi"/>
          <w:bCs/>
          <w:sz w:val="24"/>
          <w:szCs w:val="24"/>
        </w:rPr>
        <w:t>by</w:t>
      </w:r>
      <w:r w:rsidRPr="00AE5F42">
        <w:rPr>
          <w:rFonts w:ascii="Garamond" w:eastAsia="Times New Roman" w:hAnsi="Garamond" w:cstheme="minorHAnsi"/>
          <w:bCs/>
          <w:sz w:val="24"/>
          <w:szCs w:val="24"/>
        </w:rPr>
        <w:t xml:space="preserve"> the total green belt area. Data on tubewell depths were collected to compute the energy required for pumping operations. The number of mosques in Hayatabad and their associated population coverage were assessed. Specific water usage data from selected mosques were gathered, and water quality tests were conducted to determine per capita consumption rates. Storage tanks for repurposing ablution water for irrigation were designed, and assessments of potential energy conservation and economic feasibility were carried out. All estimates and analyses were refined using precise data, environmental considerations, and expert input to ensure reliable results.</w:t>
      </w:r>
    </w:p>
    <w:p w14:paraId="0A1BA9F2" w14:textId="77777777" w:rsidR="0083501F" w:rsidRPr="00AE5F42" w:rsidRDefault="0083501F" w:rsidP="00CE21E3">
      <w:pPr>
        <w:spacing w:after="0" w:line="240" w:lineRule="auto"/>
        <w:jc w:val="both"/>
        <w:rPr>
          <w:rFonts w:ascii="Garamond" w:hAnsi="Garamond" w:cstheme="minorHAnsi"/>
          <w:b/>
          <w:bCs/>
          <w:sz w:val="24"/>
          <w:szCs w:val="24"/>
        </w:rPr>
      </w:pPr>
      <w:r w:rsidRPr="00AE5F42">
        <w:rPr>
          <w:rFonts w:ascii="Garamond" w:hAnsi="Garamond" w:cstheme="minorHAnsi"/>
          <w:b/>
          <w:bCs/>
          <w:sz w:val="24"/>
          <w:szCs w:val="24"/>
        </w:rPr>
        <w:t>Site Selection:</w:t>
      </w:r>
    </w:p>
    <w:p w14:paraId="625365AE" w14:textId="77777777" w:rsidR="0083501F" w:rsidRPr="00AE5F42" w:rsidRDefault="0083501F" w:rsidP="00CE21E3">
      <w:pPr>
        <w:spacing w:after="0" w:line="240" w:lineRule="auto"/>
        <w:ind w:firstLine="720"/>
        <w:jc w:val="both"/>
        <w:rPr>
          <w:rFonts w:ascii="Garamond" w:hAnsi="Garamond" w:cstheme="minorHAnsi"/>
          <w:bCs/>
          <w:sz w:val="24"/>
          <w:szCs w:val="24"/>
        </w:rPr>
      </w:pPr>
      <w:r w:rsidRPr="00AE5F42">
        <w:rPr>
          <w:rFonts w:ascii="Garamond" w:hAnsi="Garamond" w:cstheme="minorHAnsi"/>
          <w:bCs/>
          <w:sz w:val="24"/>
          <w:szCs w:val="24"/>
        </w:rPr>
        <w:t>A representative mosque within Hayatabad was selected as the primary study site based on factors such as size, accessibility, daily footfall, the volume of water used for ablution, and proximity to green belts. This site was considered typical of urban mosques in the area and suitable for pilot-scale assessment.</w:t>
      </w:r>
    </w:p>
    <w:p w14:paraId="3470A9F7" w14:textId="77777777" w:rsidR="0083501F" w:rsidRPr="00AE5F42" w:rsidRDefault="0083501F" w:rsidP="00CE21E3">
      <w:pPr>
        <w:spacing w:after="0" w:line="240" w:lineRule="auto"/>
        <w:jc w:val="both"/>
        <w:rPr>
          <w:rFonts w:ascii="Garamond" w:hAnsi="Garamond" w:cstheme="minorHAnsi"/>
          <w:b/>
          <w:sz w:val="24"/>
          <w:szCs w:val="24"/>
        </w:rPr>
      </w:pPr>
      <w:r w:rsidRPr="00AE5F42">
        <w:rPr>
          <w:rFonts w:ascii="Garamond" w:hAnsi="Garamond" w:cstheme="minorHAnsi"/>
          <w:b/>
          <w:sz w:val="24"/>
          <w:szCs w:val="24"/>
        </w:rPr>
        <w:t>Data Collection</w:t>
      </w:r>
      <w:r>
        <w:rPr>
          <w:rFonts w:ascii="Garamond" w:hAnsi="Garamond" w:cstheme="minorHAnsi"/>
          <w:b/>
          <w:sz w:val="24"/>
          <w:szCs w:val="24"/>
        </w:rPr>
        <w:t>:</w:t>
      </w:r>
    </w:p>
    <w:p w14:paraId="613535D4" w14:textId="77777777" w:rsidR="0083501F" w:rsidRPr="00AE5F42" w:rsidRDefault="0083501F" w:rsidP="00CE21E3">
      <w:pPr>
        <w:spacing w:after="0" w:line="240" w:lineRule="auto"/>
        <w:ind w:firstLine="720"/>
        <w:jc w:val="both"/>
        <w:rPr>
          <w:rFonts w:ascii="Garamond" w:hAnsi="Garamond"/>
          <w:sz w:val="24"/>
          <w:szCs w:val="24"/>
        </w:rPr>
      </w:pPr>
      <w:r w:rsidRPr="00AE5F42">
        <w:rPr>
          <w:rFonts w:ascii="Garamond" w:hAnsi="Garamond"/>
          <w:sz w:val="24"/>
          <w:szCs w:val="24"/>
        </w:rPr>
        <w:t xml:space="preserve">A digital water flow meter was installed at the mosque’s primary ablution point to accurately measure the volume of water used for ablution. Water usage was monitored during all five daily prayer times over </w:t>
      </w:r>
      <w:r>
        <w:rPr>
          <w:rFonts w:ascii="Garamond" w:hAnsi="Garamond"/>
          <w:sz w:val="24"/>
          <w:szCs w:val="24"/>
        </w:rPr>
        <w:t>four weeks</w:t>
      </w:r>
      <w:r w:rsidRPr="00AE5F42">
        <w:rPr>
          <w:rFonts w:ascii="Garamond" w:hAnsi="Garamond"/>
          <w:sz w:val="24"/>
          <w:szCs w:val="24"/>
        </w:rPr>
        <w:t xml:space="preserve"> to capture variations in consumption patterns. Additionally, data on energy consumption related to water pumping operations was collected using power meters and electric bills. This included both ablution-related water uses and conventional tubewell-based irrigation energy demands.</w:t>
      </w:r>
    </w:p>
    <w:p w14:paraId="515F02B2" w14:textId="77777777" w:rsidR="0083501F" w:rsidRPr="00AE5F42" w:rsidRDefault="0083501F" w:rsidP="00CE21E3">
      <w:pPr>
        <w:spacing w:after="0" w:line="240" w:lineRule="auto"/>
        <w:jc w:val="both"/>
        <w:rPr>
          <w:rFonts w:ascii="Garamond" w:hAnsi="Garamond" w:cstheme="minorHAnsi"/>
          <w:b/>
          <w:bCs/>
          <w:sz w:val="24"/>
          <w:szCs w:val="24"/>
        </w:rPr>
      </w:pPr>
      <w:r w:rsidRPr="00AE5F42">
        <w:rPr>
          <w:rFonts w:ascii="Garamond" w:hAnsi="Garamond" w:cstheme="minorHAnsi"/>
          <w:b/>
          <w:bCs/>
          <w:sz w:val="24"/>
          <w:szCs w:val="24"/>
        </w:rPr>
        <w:t>Water Quality Assessment</w:t>
      </w:r>
      <w:r>
        <w:rPr>
          <w:rFonts w:ascii="Garamond" w:hAnsi="Garamond" w:cstheme="minorHAnsi"/>
          <w:b/>
          <w:bCs/>
          <w:sz w:val="24"/>
          <w:szCs w:val="24"/>
        </w:rPr>
        <w:t>:</w:t>
      </w:r>
    </w:p>
    <w:p w14:paraId="16B97DDE" w14:textId="4CDE7A8A" w:rsidR="00CE21E3" w:rsidRDefault="0083501F" w:rsidP="00A27035">
      <w:pPr>
        <w:spacing w:after="0" w:line="240" w:lineRule="auto"/>
        <w:ind w:firstLine="720"/>
        <w:jc w:val="both"/>
        <w:rPr>
          <w:rFonts w:ascii="Garamond" w:hAnsi="Garamond" w:cstheme="minorHAnsi"/>
          <w:bCs/>
          <w:sz w:val="24"/>
          <w:szCs w:val="24"/>
        </w:rPr>
      </w:pPr>
      <w:r w:rsidRPr="00AE5F42">
        <w:rPr>
          <w:rFonts w:ascii="Garamond" w:hAnsi="Garamond" w:cstheme="minorHAnsi"/>
          <w:bCs/>
          <w:sz w:val="24"/>
          <w:szCs w:val="24"/>
        </w:rPr>
        <w:t xml:space="preserve">Ablution water samples were collected from the selected mosque </w:t>
      </w:r>
      <w:r>
        <w:rPr>
          <w:rFonts w:ascii="Garamond" w:hAnsi="Garamond" w:cstheme="minorHAnsi"/>
          <w:bCs/>
          <w:sz w:val="24"/>
          <w:szCs w:val="24"/>
        </w:rPr>
        <w:t>following</w:t>
      </w:r>
      <w:r w:rsidRPr="00AE5F42">
        <w:rPr>
          <w:rFonts w:ascii="Garamond" w:hAnsi="Garamond" w:cstheme="minorHAnsi"/>
          <w:bCs/>
          <w:sz w:val="24"/>
          <w:szCs w:val="24"/>
        </w:rPr>
        <w:t xml:space="preserve"> sampling guidelines for irrigation water quality assessment in Pakistan. Biochemical Oxygen Demand </w:t>
      </w:r>
      <w:r w:rsidRPr="00AE5F42">
        <w:rPr>
          <w:rFonts w:ascii="Garamond" w:hAnsi="Garamond" w:cstheme="minorHAnsi"/>
          <w:bCs/>
          <w:sz w:val="24"/>
          <w:szCs w:val="24"/>
        </w:rPr>
        <w:lastRenderedPageBreak/>
        <w:t xml:space="preserve">(BOD) and Chemical Oxygen Demand (COD) were analyzed following the APHA Standard Methods (Method 5210 for BOD and Method 5220 for COD) to ensure reliable and standardized </w:t>
      </w:r>
      <w:proofErr w:type="spellStart"/>
      <w:proofErr w:type="gramStart"/>
      <w:r w:rsidRPr="00AE5F42">
        <w:rPr>
          <w:rFonts w:ascii="Garamond" w:hAnsi="Garamond" w:cstheme="minorHAnsi"/>
          <w:bCs/>
          <w:sz w:val="24"/>
          <w:szCs w:val="24"/>
        </w:rPr>
        <w:t>measurements.The</w:t>
      </w:r>
      <w:proofErr w:type="spellEnd"/>
      <w:proofErr w:type="gramEnd"/>
      <w:r w:rsidRPr="00AE5F42">
        <w:rPr>
          <w:rFonts w:ascii="Garamond" w:hAnsi="Garamond" w:cstheme="minorHAnsi"/>
          <w:bCs/>
          <w:sz w:val="24"/>
          <w:szCs w:val="24"/>
        </w:rPr>
        <w:t xml:space="preserve"> methodology of the research is shown in Figure 2</w:t>
      </w:r>
    </w:p>
    <w:p w14:paraId="5DE255FB" w14:textId="528A17A2" w:rsidR="0083501F" w:rsidRPr="00AE5F42" w:rsidRDefault="0083501F" w:rsidP="00CE21E3">
      <w:pPr>
        <w:spacing w:after="0" w:line="240" w:lineRule="auto"/>
        <w:jc w:val="center"/>
        <w:rPr>
          <w:rFonts w:ascii="Garamond" w:hAnsi="Garamond" w:cstheme="minorHAnsi"/>
          <w:bCs/>
          <w:sz w:val="24"/>
          <w:szCs w:val="24"/>
        </w:rPr>
      </w:pPr>
      <w:r w:rsidRPr="00AE5F42">
        <w:rPr>
          <w:rFonts w:ascii="Garamond" w:hAnsi="Garamond"/>
          <w:noProof/>
          <w:sz w:val="24"/>
          <w:szCs w:val="24"/>
        </w:rPr>
        <w:drawing>
          <wp:inline distT="0" distB="0" distL="0" distR="0" wp14:anchorId="3BB26CF1" wp14:editId="31BA1ADE">
            <wp:extent cx="2306472" cy="2504700"/>
            <wp:effectExtent l="0" t="0" r="0" b="0"/>
            <wp:docPr id="78426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551" t="12064" r="6259" b="24815"/>
                    <a:stretch>
                      <a:fillRect/>
                    </a:stretch>
                  </pic:blipFill>
                  <pic:spPr bwMode="auto">
                    <a:xfrm>
                      <a:off x="0" y="0"/>
                      <a:ext cx="2362954" cy="2566036"/>
                    </a:xfrm>
                    <a:prstGeom prst="rect">
                      <a:avLst/>
                    </a:prstGeom>
                    <a:noFill/>
                    <a:ln>
                      <a:noFill/>
                    </a:ln>
                    <a:extLst>
                      <a:ext uri="{53640926-AAD7-44D8-BBD7-CCE9431645EC}">
                        <a14:shadowObscured xmlns:a14="http://schemas.microsoft.com/office/drawing/2010/main"/>
                      </a:ext>
                    </a:extLst>
                  </pic:spPr>
                </pic:pic>
              </a:graphicData>
            </a:graphic>
          </wp:inline>
        </w:drawing>
      </w:r>
    </w:p>
    <w:p w14:paraId="4F09612A" w14:textId="2C2E0C64" w:rsidR="0083501F" w:rsidRPr="00CE21E3" w:rsidRDefault="0083501F" w:rsidP="00CE21E3">
      <w:pPr>
        <w:pStyle w:val="Caption"/>
        <w:spacing w:after="0"/>
        <w:jc w:val="center"/>
        <w:rPr>
          <w:rFonts w:ascii="Garamond" w:hAnsi="Garamond"/>
          <w:b w:val="0"/>
          <w:bCs w:val="0"/>
          <w:i/>
          <w:iCs/>
          <w:color w:val="000000" w:themeColor="text1"/>
          <w:sz w:val="24"/>
          <w:szCs w:val="24"/>
        </w:rPr>
      </w:pPr>
      <w:r w:rsidRPr="00AE5F42">
        <w:rPr>
          <w:rFonts w:ascii="Garamond" w:hAnsi="Garamond"/>
          <w:color w:val="000000" w:themeColor="text1"/>
          <w:sz w:val="24"/>
          <w:szCs w:val="24"/>
        </w:rPr>
        <w:t>Figure</w:t>
      </w:r>
      <w:r>
        <w:rPr>
          <w:rFonts w:ascii="Garamond" w:hAnsi="Garamond"/>
          <w:b w:val="0"/>
          <w:bCs w:val="0"/>
          <w:i/>
          <w:iCs/>
          <w:color w:val="000000" w:themeColor="text1"/>
          <w:sz w:val="24"/>
          <w:szCs w:val="24"/>
        </w:rPr>
        <w:t xml:space="preserve"> </w:t>
      </w:r>
      <w:r w:rsidRPr="00AE5F42">
        <w:rPr>
          <w:rFonts w:ascii="Garamond" w:hAnsi="Garamond"/>
          <w:b w:val="0"/>
          <w:bCs w:val="0"/>
          <w:i/>
          <w:iCs/>
          <w:color w:val="000000" w:themeColor="text1"/>
          <w:sz w:val="24"/>
          <w:szCs w:val="24"/>
        </w:rPr>
        <w:fldChar w:fldCharType="begin"/>
      </w:r>
      <w:r w:rsidRPr="00AE5F42">
        <w:rPr>
          <w:rFonts w:ascii="Garamond" w:hAnsi="Garamond"/>
          <w:color w:val="000000" w:themeColor="text1"/>
          <w:sz w:val="24"/>
          <w:szCs w:val="24"/>
        </w:rPr>
        <w:instrText xml:space="preserve"> SEQ Figure \* ARABIC \s 1 </w:instrText>
      </w:r>
      <w:r w:rsidRPr="00AE5F42">
        <w:rPr>
          <w:rFonts w:ascii="Garamond" w:hAnsi="Garamond"/>
          <w:b w:val="0"/>
          <w:bCs w:val="0"/>
          <w:i/>
          <w:iCs/>
          <w:color w:val="000000" w:themeColor="text1"/>
          <w:sz w:val="24"/>
          <w:szCs w:val="24"/>
        </w:rPr>
        <w:fldChar w:fldCharType="separate"/>
      </w:r>
      <w:r w:rsidR="002666D3">
        <w:rPr>
          <w:rFonts w:ascii="Garamond" w:hAnsi="Garamond"/>
          <w:noProof/>
          <w:color w:val="000000" w:themeColor="text1"/>
          <w:sz w:val="24"/>
          <w:szCs w:val="24"/>
        </w:rPr>
        <w:t>2</w:t>
      </w:r>
      <w:r w:rsidRPr="00AE5F42">
        <w:rPr>
          <w:rFonts w:ascii="Garamond" w:hAnsi="Garamond"/>
          <w:b w:val="0"/>
          <w:bCs w:val="0"/>
          <w:i/>
          <w:iCs/>
          <w:color w:val="000000" w:themeColor="text1"/>
          <w:sz w:val="24"/>
          <w:szCs w:val="24"/>
        </w:rPr>
        <w:fldChar w:fldCharType="end"/>
      </w:r>
      <w:r w:rsidR="00CE21E3">
        <w:rPr>
          <w:rFonts w:ascii="Garamond" w:hAnsi="Garamond"/>
          <w:color w:val="000000" w:themeColor="text1"/>
          <w:sz w:val="24"/>
          <w:szCs w:val="24"/>
        </w:rPr>
        <w:t>.</w:t>
      </w:r>
      <w:r w:rsidRPr="00AE5F42">
        <w:rPr>
          <w:rFonts w:ascii="Garamond" w:hAnsi="Garamond"/>
          <w:color w:val="000000" w:themeColor="text1"/>
          <w:sz w:val="24"/>
          <w:szCs w:val="24"/>
        </w:rPr>
        <w:t xml:space="preserve"> </w:t>
      </w:r>
      <w:r w:rsidRPr="00CE21E3">
        <w:rPr>
          <w:rFonts w:ascii="Garamond" w:hAnsi="Garamond"/>
          <w:b w:val="0"/>
          <w:bCs w:val="0"/>
          <w:color w:val="000000" w:themeColor="text1"/>
          <w:sz w:val="24"/>
          <w:szCs w:val="24"/>
        </w:rPr>
        <w:t xml:space="preserve">Methodology of </w:t>
      </w:r>
      <w:r w:rsidR="002A4FEF" w:rsidRPr="00CE21E3">
        <w:rPr>
          <w:rFonts w:ascii="Garamond" w:hAnsi="Garamond"/>
          <w:b w:val="0"/>
          <w:bCs w:val="0"/>
          <w:color w:val="000000" w:themeColor="text1"/>
          <w:sz w:val="24"/>
          <w:szCs w:val="24"/>
        </w:rPr>
        <w:t>research</w:t>
      </w:r>
    </w:p>
    <w:p w14:paraId="35E16013" w14:textId="77777777" w:rsidR="0083501F" w:rsidRPr="00AE5F42" w:rsidRDefault="0083501F" w:rsidP="00CE21E3">
      <w:pPr>
        <w:spacing w:after="0" w:line="240" w:lineRule="auto"/>
        <w:jc w:val="both"/>
        <w:rPr>
          <w:rFonts w:ascii="Garamond" w:hAnsi="Garamond"/>
          <w:b/>
          <w:bCs/>
          <w:sz w:val="24"/>
          <w:szCs w:val="24"/>
        </w:rPr>
      </w:pPr>
      <w:r w:rsidRPr="00AE5F42">
        <w:rPr>
          <w:rFonts w:ascii="Garamond" w:hAnsi="Garamond"/>
          <w:b/>
          <w:bCs/>
          <w:sz w:val="24"/>
          <w:szCs w:val="24"/>
        </w:rPr>
        <w:t>Results and Discussion</w:t>
      </w:r>
      <w:r>
        <w:rPr>
          <w:rFonts w:ascii="Garamond" w:hAnsi="Garamond"/>
          <w:b/>
          <w:bCs/>
          <w:sz w:val="24"/>
          <w:szCs w:val="24"/>
        </w:rPr>
        <w:t>:</w:t>
      </w:r>
    </w:p>
    <w:p w14:paraId="222F8E3F" w14:textId="77777777" w:rsidR="0083501F" w:rsidRPr="00AE5F42" w:rsidRDefault="0083501F" w:rsidP="00CE21E3">
      <w:pPr>
        <w:spacing w:after="0" w:line="240" w:lineRule="auto"/>
        <w:jc w:val="both"/>
        <w:rPr>
          <w:rFonts w:ascii="Garamond" w:hAnsi="Garamond"/>
          <w:b/>
          <w:bCs/>
          <w:sz w:val="24"/>
          <w:szCs w:val="24"/>
        </w:rPr>
      </w:pPr>
      <w:r w:rsidRPr="00AE5F42">
        <w:rPr>
          <w:rFonts w:ascii="Garamond" w:hAnsi="Garamond"/>
          <w:b/>
          <w:bCs/>
          <w:sz w:val="24"/>
          <w:szCs w:val="24"/>
        </w:rPr>
        <w:t>Ablution Water Per Namazi</w:t>
      </w:r>
      <w:r>
        <w:rPr>
          <w:rFonts w:ascii="Garamond" w:hAnsi="Garamond"/>
          <w:b/>
          <w:bCs/>
          <w:sz w:val="24"/>
          <w:szCs w:val="24"/>
        </w:rPr>
        <w:t>:</w:t>
      </w:r>
    </w:p>
    <w:p w14:paraId="1570DC75" w14:textId="77777777" w:rsidR="0083501F" w:rsidRPr="00AE5F42" w:rsidRDefault="0083501F" w:rsidP="00CE21E3">
      <w:pPr>
        <w:spacing w:after="0" w:line="240" w:lineRule="auto"/>
        <w:ind w:firstLine="720"/>
        <w:jc w:val="both"/>
        <w:rPr>
          <w:rFonts w:ascii="Garamond" w:hAnsi="Garamond" w:cstheme="minorHAnsi"/>
          <w:bCs/>
          <w:sz w:val="24"/>
          <w:szCs w:val="24"/>
        </w:rPr>
      </w:pPr>
      <w:r w:rsidRPr="00AE5F42">
        <w:rPr>
          <w:rFonts w:ascii="Garamond" w:hAnsi="Garamond" w:cstheme="minorHAnsi"/>
          <w:bCs/>
          <w:sz w:val="24"/>
          <w:szCs w:val="24"/>
        </w:rPr>
        <w:t xml:space="preserve">For this analysis, six different mosques from various localities were selected. In each mosque, worshippers (Namazi) were observed during ablution, and the time taken for each individual to perform ablution was recorded using a stopwatch, as detailed in Table 1. For each recorded time, a graduated container was placed under the open tap to measure the volume of water used. This process was repeated for all other observed durations of tap usage to ensure accurate measurement of water consumption.  Throughout the analysis, efforts were made to include participants from all age groups to capture the diversity in ablution habits and ensure that variations in water usage across different age demographics were accurately represented. </w:t>
      </w:r>
    </w:p>
    <w:p w14:paraId="2A83EE1C" w14:textId="77777777" w:rsidR="00CE21E3" w:rsidRDefault="0083501F" w:rsidP="00CE21E3">
      <w:pPr>
        <w:spacing w:after="0" w:line="240" w:lineRule="auto"/>
        <w:ind w:firstLine="720"/>
        <w:jc w:val="both"/>
        <w:rPr>
          <w:rFonts w:ascii="Garamond" w:hAnsi="Garamond" w:cstheme="minorHAnsi"/>
          <w:bCs/>
          <w:sz w:val="24"/>
          <w:szCs w:val="24"/>
        </w:rPr>
      </w:pPr>
      <w:r w:rsidRPr="00AE5F42">
        <w:rPr>
          <w:rFonts w:ascii="Garamond" w:hAnsi="Garamond" w:cstheme="minorHAnsi"/>
          <w:bCs/>
          <w:sz w:val="24"/>
          <w:szCs w:val="24"/>
        </w:rPr>
        <w:t>To ensure accurate estimation, all taps within each mosque were used during the data collection process, as each tap may vary in discharge rate. This approach accounted for differences in water flow among the taps.  Volumes of all various recorded time</w:t>
      </w:r>
      <w:r>
        <w:rPr>
          <w:rFonts w:ascii="Garamond" w:hAnsi="Garamond" w:cstheme="minorHAnsi"/>
          <w:bCs/>
          <w:sz w:val="24"/>
          <w:szCs w:val="24"/>
        </w:rPr>
        <w:t>s</w:t>
      </w:r>
      <w:r w:rsidRPr="00AE5F42">
        <w:rPr>
          <w:rFonts w:ascii="Garamond" w:hAnsi="Garamond" w:cstheme="minorHAnsi"/>
          <w:bCs/>
          <w:sz w:val="24"/>
          <w:szCs w:val="24"/>
        </w:rPr>
        <w:t xml:space="preserve"> from different taps giving all various volume</w:t>
      </w:r>
      <w:r>
        <w:rPr>
          <w:rFonts w:ascii="Garamond" w:hAnsi="Garamond" w:cstheme="minorHAnsi"/>
          <w:bCs/>
          <w:sz w:val="24"/>
          <w:szCs w:val="24"/>
        </w:rPr>
        <w:t>s</w:t>
      </w:r>
      <w:r w:rsidRPr="00AE5F42">
        <w:rPr>
          <w:rFonts w:ascii="Garamond" w:hAnsi="Garamond" w:cstheme="minorHAnsi"/>
          <w:bCs/>
          <w:sz w:val="24"/>
          <w:szCs w:val="24"/>
        </w:rPr>
        <w:t xml:space="preserve"> per </w:t>
      </w:r>
      <w:proofErr w:type="spellStart"/>
      <w:r w:rsidRPr="00AE5F42">
        <w:rPr>
          <w:rFonts w:ascii="Garamond" w:hAnsi="Garamond" w:cstheme="minorHAnsi"/>
          <w:bCs/>
          <w:sz w:val="24"/>
          <w:szCs w:val="24"/>
        </w:rPr>
        <w:t>namazi</w:t>
      </w:r>
      <w:proofErr w:type="spellEnd"/>
      <w:r w:rsidRPr="00AE5F42">
        <w:rPr>
          <w:rFonts w:ascii="Garamond" w:hAnsi="Garamond" w:cstheme="minorHAnsi"/>
          <w:bCs/>
          <w:sz w:val="24"/>
          <w:szCs w:val="24"/>
        </w:rPr>
        <w:t xml:space="preserve"> per ablution</w:t>
      </w:r>
      <w:r>
        <w:rPr>
          <w:rFonts w:ascii="Garamond" w:hAnsi="Garamond" w:cstheme="minorHAnsi"/>
          <w:bCs/>
          <w:sz w:val="24"/>
          <w:szCs w:val="24"/>
        </w:rPr>
        <w:t>,</w:t>
      </w:r>
      <w:r w:rsidRPr="00AE5F42">
        <w:rPr>
          <w:rFonts w:ascii="Garamond" w:hAnsi="Garamond" w:cstheme="minorHAnsi"/>
          <w:bCs/>
          <w:sz w:val="24"/>
          <w:szCs w:val="24"/>
        </w:rPr>
        <w:t xml:space="preserve"> thus an average is calculated</w:t>
      </w:r>
      <w:r w:rsidRPr="00AE5F42">
        <w:rPr>
          <w:rFonts w:ascii="Garamond" w:hAnsi="Garamond" w:cs="Times New Roman"/>
          <w:sz w:val="24"/>
          <w:szCs w:val="24"/>
        </w:rPr>
        <w:t>.</w:t>
      </w:r>
      <w:r w:rsidRPr="00AE5F42">
        <w:rPr>
          <w:rFonts w:ascii="Garamond" w:hAnsi="Garamond"/>
          <w:b/>
          <w:bCs/>
          <w:color w:val="000000" w:themeColor="text1"/>
          <w:kern w:val="24"/>
          <w:sz w:val="24"/>
          <w:szCs w:val="24"/>
        </w:rPr>
        <w:t xml:space="preserve"> </w:t>
      </w:r>
      <w:r w:rsidRPr="00AE5F42">
        <w:rPr>
          <w:rFonts w:ascii="Garamond" w:hAnsi="Garamond" w:cstheme="minorHAnsi"/>
          <w:bCs/>
          <w:sz w:val="24"/>
          <w:szCs w:val="24"/>
        </w:rPr>
        <w:t>Average Water consumption from ablution water was calculated to be about 1200 liters per masjid.</w:t>
      </w:r>
    </w:p>
    <w:p w14:paraId="0FEA99FA" w14:textId="77777777" w:rsidR="001251AF" w:rsidRPr="00AE5F42" w:rsidRDefault="001251AF" w:rsidP="001251AF">
      <w:pPr>
        <w:spacing w:after="0" w:line="240" w:lineRule="auto"/>
        <w:jc w:val="both"/>
        <w:rPr>
          <w:rFonts w:ascii="Garamond" w:hAnsi="Garamond"/>
          <w:b/>
          <w:bCs/>
          <w:sz w:val="24"/>
          <w:szCs w:val="24"/>
        </w:rPr>
      </w:pPr>
      <w:r w:rsidRPr="00AE5F42">
        <w:rPr>
          <w:rFonts w:ascii="Garamond" w:hAnsi="Garamond"/>
          <w:b/>
          <w:bCs/>
          <w:sz w:val="24"/>
          <w:szCs w:val="24"/>
        </w:rPr>
        <w:t>Pumping station (Masjids) and green belts of Hayatabad</w:t>
      </w:r>
      <w:r>
        <w:rPr>
          <w:rFonts w:ascii="Garamond" w:hAnsi="Garamond"/>
          <w:b/>
          <w:bCs/>
          <w:sz w:val="24"/>
          <w:szCs w:val="24"/>
        </w:rPr>
        <w:t>:</w:t>
      </w:r>
    </w:p>
    <w:p w14:paraId="42A6B13F" w14:textId="3621C85D" w:rsidR="001251AF" w:rsidRDefault="001251AF" w:rsidP="00A27035">
      <w:pPr>
        <w:spacing w:after="0" w:line="240" w:lineRule="auto"/>
        <w:ind w:firstLine="720"/>
        <w:jc w:val="both"/>
        <w:rPr>
          <w:rFonts w:ascii="Garamond" w:hAnsi="Garamond" w:cstheme="minorHAnsi"/>
          <w:bCs/>
          <w:sz w:val="24"/>
          <w:szCs w:val="24"/>
        </w:rPr>
      </w:pPr>
      <w:r w:rsidRPr="00AE5F42">
        <w:rPr>
          <w:rFonts w:ascii="Garamond" w:hAnsi="Garamond"/>
          <w:sz w:val="24"/>
          <w:szCs w:val="24"/>
        </w:rPr>
        <w:t xml:space="preserve">The spatial analysis of Hayatabad, Peshawar, revealed that a total of 62 mosques </w:t>
      </w:r>
      <w:proofErr w:type="gramStart"/>
      <w:r w:rsidRPr="00AE5F42">
        <w:rPr>
          <w:rFonts w:ascii="Garamond" w:hAnsi="Garamond"/>
          <w:sz w:val="24"/>
          <w:szCs w:val="24"/>
        </w:rPr>
        <w:t>are</w:t>
      </w:r>
      <w:proofErr w:type="gramEnd"/>
      <w:r w:rsidRPr="00AE5F42">
        <w:rPr>
          <w:rFonts w:ascii="Garamond" w:hAnsi="Garamond"/>
          <w:sz w:val="24"/>
          <w:szCs w:val="24"/>
        </w:rPr>
        <w:t xml:space="preserve"> located within a 450-meter buffer of the main green belts, as shown in Figure 3. The yellow-highlighted areas indicate approximately 40.16 acre</w:t>
      </w:r>
      <w:r>
        <w:rPr>
          <w:rFonts w:ascii="Garamond" w:hAnsi="Garamond"/>
          <w:sz w:val="24"/>
          <w:szCs w:val="24"/>
        </w:rPr>
        <w:t>s</w:t>
      </w:r>
      <w:r w:rsidRPr="00AE5F42">
        <w:rPr>
          <w:rFonts w:ascii="Garamond" w:hAnsi="Garamond"/>
          <w:sz w:val="24"/>
          <w:szCs w:val="24"/>
        </w:rPr>
        <w:t xml:space="preserve"> or 1749283.3ft</w:t>
      </w:r>
      <w:r w:rsidRPr="00AE5F42">
        <w:rPr>
          <w:rFonts w:ascii="Garamond" w:hAnsi="Garamond"/>
          <w:sz w:val="24"/>
          <w:szCs w:val="24"/>
          <w:vertAlign w:val="superscript"/>
        </w:rPr>
        <w:t>2</w:t>
      </w:r>
      <w:r w:rsidRPr="00AE5F42">
        <w:rPr>
          <w:rFonts w:ascii="Garamond" w:hAnsi="Garamond"/>
          <w:sz w:val="24"/>
          <w:szCs w:val="24"/>
        </w:rPr>
        <w:t xml:space="preserve"> of landscaped green belts distributed across Phases 1 to 7. This proximity enables the potential reuse of mosque ablution water as an irrigation source, reducing the average water transport distance from the source to green belts from 4 km (in the case of tubewells) to only 450 meters. This shorter distance significantly lowers pumping energy requirements and infrastructure costs. Additionally, the presence of 7 phases ensures that mosque-generated greywater can feasibly be matched with local irrigation demand across the township. This spatial alignment supports the design of decentralized irrigation systems powered by mosque ablution water reuse, enhancing both operational efficiency and sustainability</w:t>
      </w:r>
    </w:p>
    <w:p w14:paraId="0F4CCC9A" w14:textId="77777777" w:rsidR="00A27035" w:rsidRDefault="00A27035">
      <w:pPr>
        <w:rPr>
          <w:rFonts w:ascii="Garamond" w:hAnsi="Garamond"/>
          <w:b/>
          <w:bCs/>
          <w:color w:val="000000" w:themeColor="text1"/>
          <w:sz w:val="24"/>
          <w:szCs w:val="24"/>
        </w:rPr>
      </w:pPr>
      <w:r>
        <w:rPr>
          <w:rFonts w:ascii="Garamond" w:hAnsi="Garamond"/>
          <w:b/>
          <w:bCs/>
          <w:color w:val="000000" w:themeColor="text1"/>
          <w:sz w:val="24"/>
          <w:szCs w:val="24"/>
        </w:rPr>
        <w:br w:type="page"/>
      </w:r>
    </w:p>
    <w:p w14:paraId="578CA9B8" w14:textId="38A49F5D" w:rsidR="001251AF" w:rsidRDefault="0083501F" w:rsidP="001251AF">
      <w:pPr>
        <w:spacing w:after="0" w:line="240" w:lineRule="auto"/>
        <w:jc w:val="center"/>
        <w:rPr>
          <w:rFonts w:ascii="Garamond" w:hAnsi="Garamond"/>
          <w:color w:val="000000" w:themeColor="text1"/>
          <w:sz w:val="24"/>
          <w:szCs w:val="24"/>
        </w:rPr>
      </w:pPr>
      <w:r w:rsidRPr="00AE5F42">
        <w:rPr>
          <w:rFonts w:ascii="Garamond" w:hAnsi="Garamond"/>
          <w:b/>
          <w:bCs/>
          <w:color w:val="000000" w:themeColor="text1"/>
          <w:sz w:val="24"/>
          <w:szCs w:val="24"/>
        </w:rPr>
        <w:lastRenderedPageBreak/>
        <w:t xml:space="preserve">Table </w:t>
      </w:r>
      <w:r w:rsidRPr="00AE5F42">
        <w:rPr>
          <w:rFonts w:ascii="Garamond" w:hAnsi="Garamond"/>
          <w:b/>
          <w:bCs/>
          <w:i/>
          <w:iCs/>
          <w:color w:val="000000" w:themeColor="text1"/>
          <w:sz w:val="24"/>
          <w:szCs w:val="24"/>
        </w:rPr>
        <w:fldChar w:fldCharType="begin"/>
      </w:r>
      <w:r w:rsidRPr="00AE5F42">
        <w:rPr>
          <w:rFonts w:ascii="Garamond" w:hAnsi="Garamond"/>
          <w:b/>
          <w:bCs/>
          <w:color w:val="000000" w:themeColor="text1"/>
          <w:sz w:val="24"/>
          <w:szCs w:val="24"/>
        </w:rPr>
        <w:instrText xml:space="preserve"> SEQ Table \* ARABIC \s 1 </w:instrText>
      </w:r>
      <w:r w:rsidRPr="00AE5F42">
        <w:rPr>
          <w:rFonts w:ascii="Garamond" w:hAnsi="Garamond"/>
          <w:b/>
          <w:bCs/>
          <w:i/>
          <w:iCs/>
          <w:color w:val="000000" w:themeColor="text1"/>
          <w:sz w:val="24"/>
          <w:szCs w:val="24"/>
        </w:rPr>
        <w:fldChar w:fldCharType="separate"/>
      </w:r>
      <w:r w:rsidR="002666D3">
        <w:rPr>
          <w:rFonts w:ascii="Garamond" w:hAnsi="Garamond"/>
          <w:b/>
          <w:bCs/>
          <w:noProof/>
          <w:color w:val="000000" w:themeColor="text1"/>
          <w:sz w:val="24"/>
          <w:szCs w:val="24"/>
        </w:rPr>
        <w:t>1</w:t>
      </w:r>
      <w:r w:rsidRPr="00AE5F42">
        <w:rPr>
          <w:rFonts w:ascii="Garamond" w:hAnsi="Garamond"/>
          <w:b/>
          <w:bCs/>
          <w:i/>
          <w:iCs/>
          <w:color w:val="000000" w:themeColor="text1"/>
          <w:sz w:val="24"/>
          <w:szCs w:val="24"/>
        </w:rPr>
        <w:fldChar w:fldCharType="end"/>
      </w:r>
      <w:r w:rsidR="00CE21E3">
        <w:rPr>
          <w:rFonts w:ascii="Garamond" w:hAnsi="Garamond"/>
          <w:color w:val="000000" w:themeColor="text1"/>
          <w:sz w:val="24"/>
          <w:szCs w:val="24"/>
        </w:rPr>
        <w:t>.</w:t>
      </w:r>
      <w:r w:rsidRPr="00AE5F42">
        <w:rPr>
          <w:rFonts w:ascii="Garamond" w:hAnsi="Garamond"/>
          <w:b/>
          <w:bCs/>
          <w:color w:val="000000" w:themeColor="text1"/>
          <w:sz w:val="24"/>
          <w:szCs w:val="24"/>
        </w:rPr>
        <w:t xml:space="preserve"> </w:t>
      </w:r>
      <w:r w:rsidRPr="00CE21E3">
        <w:rPr>
          <w:rFonts w:ascii="Garamond" w:hAnsi="Garamond"/>
          <w:color w:val="000000" w:themeColor="text1"/>
          <w:sz w:val="24"/>
          <w:szCs w:val="24"/>
        </w:rPr>
        <w:t>Data collection from different masjid</w:t>
      </w:r>
    </w:p>
    <w:tbl>
      <w:tblPr>
        <w:tblW w:w="5486" w:type="pct"/>
        <w:tblInd w:w="-455" w:type="dxa"/>
        <w:tblLayout w:type="fixed"/>
        <w:tblLook w:val="04A0" w:firstRow="1" w:lastRow="0" w:firstColumn="1" w:lastColumn="0" w:noHBand="0" w:noVBand="1"/>
      </w:tblPr>
      <w:tblGrid>
        <w:gridCol w:w="2327"/>
        <w:gridCol w:w="1578"/>
        <w:gridCol w:w="1136"/>
        <w:gridCol w:w="2102"/>
        <w:gridCol w:w="2326"/>
      </w:tblGrid>
      <w:tr w:rsidR="001251AF" w:rsidRPr="00AE5F42" w14:paraId="32644D8E" w14:textId="77777777" w:rsidTr="00CC46F9">
        <w:trPr>
          <w:trHeight w:val="836"/>
        </w:trPr>
        <w:tc>
          <w:tcPr>
            <w:tcW w:w="1228" w:type="pct"/>
            <w:tcBorders>
              <w:top w:val="single" w:sz="4" w:space="0" w:color="auto"/>
              <w:left w:val="single" w:sz="4" w:space="0" w:color="auto"/>
              <w:bottom w:val="single" w:sz="4" w:space="0" w:color="auto"/>
              <w:right w:val="single" w:sz="4" w:space="0" w:color="auto"/>
            </w:tcBorders>
            <w:vAlign w:val="center"/>
            <w:hideMark/>
          </w:tcPr>
          <w:p w14:paraId="19B291E7" w14:textId="77777777" w:rsidR="001251AF" w:rsidRPr="00AE5F42" w:rsidRDefault="001251AF" w:rsidP="00CC46F9">
            <w:pPr>
              <w:spacing w:after="0" w:line="240" w:lineRule="auto"/>
              <w:jc w:val="center"/>
              <w:rPr>
                <w:rFonts w:ascii="Garamond" w:eastAsia="Times New Roman" w:hAnsi="Garamond" w:cs="Calibri"/>
                <w:b/>
                <w:bCs/>
                <w:sz w:val="24"/>
                <w:szCs w:val="24"/>
              </w:rPr>
            </w:pPr>
            <w:r w:rsidRPr="00AE5F42">
              <w:rPr>
                <w:rFonts w:ascii="Garamond" w:eastAsia="Times New Roman" w:hAnsi="Garamond" w:cs="Calibri"/>
                <w:b/>
                <w:bCs/>
                <w:sz w:val="24"/>
                <w:szCs w:val="24"/>
              </w:rPr>
              <w:t>Mosque Name</w:t>
            </w:r>
          </w:p>
        </w:tc>
        <w:tc>
          <w:tcPr>
            <w:tcW w:w="833" w:type="pct"/>
            <w:tcBorders>
              <w:top w:val="single" w:sz="4" w:space="0" w:color="auto"/>
              <w:left w:val="nil"/>
              <w:bottom w:val="single" w:sz="4" w:space="0" w:color="auto"/>
              <w:right w:val="single" w:sz="4" w:space="0" w:color="auto"/>
            </w:tcBorders>
            <w:vAlign w:val="center"/>
            <w:hideMark/>
          </w:tcPr>
          <w:p w14:paraId="72940330" w14:textId="77777777" w:rsidR="001251AF" w:rsidRPr="00AE5F42" w:rsidRDefault="001251AF" w:rsidP="00CC46F9">
            <w:pPr>
              <w:spacing w:after="0" w:line="240" w:lineRule="auto"/>
              <w:jc w:val="center"/>
              <w:rPr>
                <w:rFonts w:ascii="Garamond" w:eastAsia="Times New Roman" w:hAnsi="Garamond" w:cs="Calibri"/>
                <w:b/>
                <w:bCs/>
                <w:sz w:val="24"/>
                <w:szCs w:val="24"/>
              </w:rPr>
            </w:pPr>
            <w:r w:rsidRPr="00AE5F42">
              <w:rPr>
                <w:rFonts w:ascii="Garamond" w:eastAsia="Times New Roman" w:hAnsi="Garamond" w:cs="Calibri"/>
                <w:b/>
                <w:bCs/>
                <w:sz w:val="24"/>
                <w:szCs w:val="24"/>
              </w:rPr>
              <w:t>Namaz Time</w:t>
            </w:r>
          </w:p>
        </w:tc>
        <w:tc>
          <w:tcPr>
            <w:tcW w:w="600" w:type="pct"/>
            <w:tcBorders>
              <w:top w:val="single" w:sz="4" w:space="0" w:color="auto"/>
              <w:left w:val="nil"/>
              <w:bottom w:val="single" w:sz="4" w:space="0" w:color="auto"/>
              <w:right w:val="single" w:sz="4" w:space="0" w:color="auto"/>
            </w:tcBorders>
            <w:vAlign w:val="center"/>
            <w:hideMark/>
          </w:tcPr>
          <w:p w14:paraId="334B3216" w14:textId="77777777" w:rsidR="001251AF" w:rsidRPr="00AE5F42" w:rsidRDefault="001251AF" w:rsidP="00CC46F9">
            <w:pPr>
              <w:spacing w:after="0" w:line="240" w:lineRule="auto"/>
              <w:jc w:val="center"/>
              <w:rPr>
                <w:rFonts w:ascii="Garamond" w:eastAsia="Times New Roman" w:hAnsi="Garamond" w:cs="Calibri"/>
                <w:b/>
                <w:bCs/>
                <w:sz w:val="24"/>
                <w:szCs w:val="24"/>
              </w:rPr>
            </w:pPr>
            <w:r w:rsidRPr="00AE5F42">
              <w:rPr>
                <w:rFonts w:ascii="Garamond" w:eastAsia="Times New Roman" w:hAnsi="Garamond" w:cs="Calibri"/>
                <w:b/>
                <w:bCs/>
                <w:sz w:val="24"/>
                <w:szCs w:val="24"/>
              </w:rPr>
              <w:t xml:space="preserve">No of </w:t>
            </w:r>
            <w:proofErr w:type="spellStart"/>
            <w:r w:rsidRPr="00AE5F42">
              <w:rPr>
                <w:rFonts w:ascii="Garamond" w:eastAsia="Times New Roman" w:hAnsi="Garamond" w:cs="Calibri"/>
                <w:b/>
                <w:bCs/>
                <w:sz w:val="24"/>
                <w:szCs w:val="24"/>
              </w:rPr>
              <w:t>Namazis</w:t>
            </w:r>
            <w:proofErr w:type="spellEnd"/>
          </w:p>
        </w:tc>
        <w:tc>
          <w:tcPr>
            <w:tcW w:w="1110" w:type="pct"/>
            <w:tcBorders>
              <w:top w:val="single" w:sz="4" w:space="0" w:color="auto"/>
              <w:left w:val="nil"/>
              <w:bottom w:val="single" w:sz="4" w:space="0" w:color="auto"/>
              <w:right w:val="single" w:sz="4" w:space="0" w:color="auto"/>
            </w:tcBorders>
            <w:vAlign w:val="center"/>
            <w:hideMark/>
          </w:tcPr>
          <w:p w14:paraId="66CD5453" w14:textId="77777777" w:rsidR="001251AF" w:rsidRPr="00AE5F42" w:rsidRDefault="001251AF" w:rsidP="00CC46F9">
            <w:pPr>
              <w:spacing w:after="0" w:line="240" w:lineRule="auto"/>
              <w:jc w:val="center"/>
              <w:rPr>
                <w:rFonts w:ascii="Garamond" w:eastAsia="Times New Roman" w:hAnsi="Garamond" w:cs="Calibri"/>
                <w:b/>
                <w:bCs/>
                <w:sz w:val="24"/>
                <w:szCs w:val="24"/>
              </w:rPr>
            </w:pPr>
            <w:r w:rsidRPr="00AE5F42">
              <w:rPr>
                <w:rFonts w:ascii="Garamond" w:eastAsia="Times New Roman" w:hAnsi="Garamond" w:cs="Calibri"/>
                <w:b/>
                <w:bCs/>
                <w:sz w:val="24"/>
                <w:szCs w:val="24"/>
              </w:rPr>
              <w:t xml:space="preserve">No of </w:t>
            </w:r>
            <w:proofErr w:type="spellStart"/>
            <w:r w:rsidRPr="00AE5F42">
              <w:rPr>
                <w:rFonts w:ascii="Garamond" w:eastAsia="Times New Roman" w:hAnsi="Garamond" w:cs="Calibri"/>
                <w:b/>
                <w:bCs/>
                <w:sz w:val="24"/>
                <w:szCs w:val="24"/>
              </w:rPr>
              <w:t>Namazis</w:t>
            </w:r>
            <w:proofErr w:type="spellEnd"/>
            <w:r w:rsidRPr="00AE5F42">
              <w:rPr>
                <w:rFonts w:ascii="Garamond" w:eastAsia="Times New Roman" w:hAnsi="Garamond" w:cs="Calibri"/>
                <w:b/>
                <w:bCs/>
                <w:sz w:val="24"/>
                <w:szCs w:val="24"/>
              </w:rPr>
              <w:t xml:space="preserve"> Doing Ablution</w:t>
            </w:r>
          </w:p>
        </w:tc>
        <w:tc>
          <w:tcPr>
            <w:tcW w:w="1228" w:type="pct"/>
            <w:tcBorders>
              <w:top w:val="single" w:sz="4" w:space="0" w:color="auto"/>
              <w:left w:val="nil"/>
              <w:bottom w:val="single" w:sz="4" w:space="0" w:color="auto"/>
              <w:right w:val="single" w:sz="4" w:space="0" w:color="auto"/>
            </w:tcBorders>
            <w:noWrap/>
            <w:vAlign w:val="center"/>
            <w:hideMark/>
          </w:tcPr>
          <w:p w14:paraId="6E28E84A" w14:textId="77777777" w:rsidR="001251AF" w:rsidRPr="00AE5F42" w:rsidRDefault="001251AF" w:rsidP="00CC46F9">
            <w:pPr>
              <w:spacing w:after="0" w:line="240" w:lineRule="auto"/>
              <w:jc w:val="center"/>
              <w:rPr>
                <w:rFonts w:ascii="Garamond" w:eastAsia="Times New Roman" w:hAnsi="Garamond" w:cs="Calibri"/>
                <w:b/>
                <w:bCs/>
                <w:sz w:val="24"/>
                <w:szCs w:val="24"/>
              </w:rPr>
            </w:pPr>
            <w:r w:rsidRPr="00AE5F42">
              <w:rPr>
                <w:rFonts w:ascii="Garamond" w:eastAsia="Times New Roman" w:hAnsi="Garamond" w:cs="Calibri"/>
                <w:b/>
                <w:bCs/>
                <w:sz w:val="24"/>
                <w:szCs w:val="24"/>
              </w:rPr>
              <w:t>Namazi</w:t>
            </w:r>
            <w:r>
              <w:rPr>
                <w:rFonts w:ascii="Garamond" w:eastAsia="Times New Roman" w:hAnsi="Garamond" w:cs="Calibri"/>
                <w:b/>
                <w:bCs/>
                <w:sz w:val="24"/>
                <w:szCs w:val="24"/>
              </w:rPr>
              <w:t>'s</w:t>
            </w:r>
            <w:r w:rsidRPr="00AE5F42">
              <w:rPr>
                <w:rFonts w:ascii="Garamond" w:eastAsia="Times New Roman" w:hAnsi="Garamond" w:cs="Calibri"/>
                <w:b/>
                <w:bCs/>
                <w:sz w:val="24"/>
                <w:szCs w:val="24"/>
              </w:rPr>
              <w:t xml:space="preserve"> average water consumption per ablution in </w:t>
            </w:r>
            <w:proofErr w:type="spellStart"/>
            <w:r w:rsidRPr="00AE5F42">
              <w:rPr>
                <w:rFonts w:ascii="Garamond" w:eastAsia="Times New Roman" w:hAnsi="Garamond" w:cs="Calibri"/>
                <w:b/>
                <w:bCs/>
                <w:sz w:val="24"/>
                <w:szCs w:val="24"/>
              </w:rPr>
              <w:t>litres</w:t>
            </w:r>
            <w:proofErr w:type="spellEnd"/>
          </w:p>
        </w:tc>
      </w:tr>
      <w:tr w:rsidR="001251AF" w:rsidRPr="00AE5F42" w14:paraId="5ABED028" w14:textId="77777777" w:rsidTr="00CC46F9">
        <w:trPr>
          <w:trHeight w:val="53"/>
        </w:trPr>
        <w:tc>
          <w:tcPr>
            <w:tcW w:w="1228" w:type="pct"/>
            <w:tcBorders>
              <w:top w:val="nil"/>
              <w:left w:val="single" w:sz="4" w:space="0" w:color="auto"/>
              <w:bottom w:val="single" w:sz="4" w:space="0" w:color="auto"/>
              <w:right w:val="single" w:sz="4" w:space="0" w:color="auto"/>
            </w:tcBorders>
            <w:vAlign w:val="center"/>
            <w:hideMark/>
          </w:tcPr>
          <w:p w14:paraId="4CFFFF00"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Masjid Ibrahim Phase 7, Hayatabad Peshawar</w:t>
            </w:r>
          </w:p>
        </w:tc>
        <w:tc>
          <w:tcPr>
            <w:tcW w:w="833" w:type="pct"/>
            <w:tcBorders>
              <w:top w:val="nil"/>
              <w:left w:val="nil"/>
              <w:bottom w:val="single" w:sz="4" w:space="0" w:color="auto"/>
              <w:right w:val="single" w:sz="4" w:space="0" w:color="auto"/>
            </w:tcBorders>
            <w:vAlign w:val="center"/>
            <w:hideMark/>
          </w:tcPr>
          <w:p w14:paraId="13E6889B"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Fajr, Zuhr, Asr, Maghrib Isha</w:t>
            </w:r>
          </w:p>
        </w:tc>
        <w:tc>
          <w:tcPr>
            <w:tcW w:w="600" w:type="pct"/>
            <w:tcBorders>
              <w:top w:val="nil"/>
              <w:left w:val="nil"/>
              <w:bottom w:val="single" w:sz="4" w:space="0" w:color="auto"/>
              <w:right w:val="single" w:sz="4" w:space="0" w:color="auto"/>
            </w:tcBorders>
            <w:vAlign w:val="center"/>
            <w:hideMark/>
          </w:tcPr>
          <w:p w14:paraId="0E13617A"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45,60,40,55,60</w:t>
            </w:r>
          </w:p>
        </w:tc>
        <w:tc>
          <w:tcPr>
            <w:tcW w:w="1110" w:type="pct"/>
            <w:tcBorders>
              <w:top w:val="nil"/>
              <w:left w:val="nil"/>
              <w:bottom w:val="single" w:sz="4" w:space="0" w:color="auto"/>
              <w:right w:val="single" w:sz="4" w:space="0" w:color="auto"/>
            </w:tcBorders>
            <w:vAlign w:val="center"/>
            <w:hideMark/>
          </w:tcPr>
          <w:p w14:paraId="188F3D85"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20,38, 32, 39, 34</w:t>
            </w:r>
          </w:p>
        </w:tc>
        <w:tc>
          <w:tcPr>
            <w:tcW w:w="1228" w:type="pct"/>
            <w:tcBorders>
              <w:top w:val="nil"/>
              <w:left w:val="nil"/>
              <w:bottom w:val="single" w:sz="4" w:space="0" w:color="auto"/>
              <w:right w:val="single" w:sz="4" w:space="0" w:color="auto"/>
            </w:tcBorders>
            <w:vAlign w:val="center"/>
            <w:hideMark/>
          </w:tcPr>
          <w:p w14:paraId="4A37D3A2"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4.5</w:t>
            </w:r>
          </w:p>
        </w:tc>
      </w:tr>
      <w:tr w:rsidR="001251AF" w:rsidRPr="00AE5F42" w14:paraId="29D229FC" w14:textId="77777777" w:rsidTr="00CC46F9">
        <w:trPr>
          <w:trHeight w:val="720"/>
        </w:trPr>
        <w:tc>
          <w:tcPr>
            <w:tcW w:w="1228" w:type="pct"/>
            <w:tcBorders>
              <w:top w:val="nil"/>
              <w:left w:val="single" w:sz="4" w:space="0" w:color="auto"/>
              <w:bottom w:val="single" w:sz="4" w:space="0" w:color="auto"/>
              <w:right w:val="single" w:sz="4" w:space="0" w:color="auto"/>
            </w:tcBorders>
            <w:vAlign w:val="center"/>
            <w:hideMark/>
          </w:tcPr>
          <w:p w14:paraId="6544745B"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Masjid Saad bin Abi Waqas Phase 6, Hayatabad</w:t>
            </w:r>
            <w:r>
              <w:rPr>
                <w:rFonts w:ascii="Garamond" w:eastAsia="Times New Roman" w:hAnsi="Garamond" w:cs="Calibri"/>
                <w:sz w:val="24"/>
                <w:szCs w:val="24"/>
              </w:rPr>
              <w:t>,</w:t>
            </w:r>
            <w:r w:rsidRPr="00AE5F42">
              <w:rPr>
                <w:rFonts w:ascii="Garamond" w:eastAsia="Times New Roman" w:hAnsi="Garamond" w:cs="Calibri"/>
                <w:sz w:val="24"/>
                <w:szCs w:val="24"/>
              </w:rPr>
              <w:t xml:space="preserve"> Peshawar</w:t>
            </w:r>
          </w:p>
        </w:tc>
        <w:tc>
          <w:tcPr>
            <w:tcW w:w="833" w:type="pct"/>
            <w:tcBorders>
              <w:top w:val="nil"/>
              <w:left w:val="nil"/>
              <w:bottom w:val="single" w:sz="4" w:space="0" w:color="auto"/>
              <w:right w:val="single" w:sz="4" w:space="0" w:color="auto"/>
            </w:tcBorders>
            <w:vAlign w:val="center"/>
            <w:hideMark/>
          </w:tcPr>
          <w:p w14:paraId="0E30C17F"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Fajr, Zuhr, Asr, Maghrib Isha</w:t>
            </w:r>
          </w:p>
        </w:tc>
        <w:tc>
          <w:tcPr>
            <w:tcW w:w="600" w:type="pct"/>
            <w:tcBorders>
              <w:top w:val="nil"/>
              <w:left w:val="nil"/>
              <w:bottom w:val="single" w:sz="4" w:space="0" w:color="auto"/>
              <w:right w:val="single" w:sz="4" w:space="0" w:color="auto"/>
            </w:tcBorders>
            <w:vAlign w:val="center"/>
            <w:hideMark/>
          </w:tcPr>
          <w:p w14:paraId="7F7BD0F7"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35, 233, 245, 250, 555</w:t>
            </w:r>
          </w:p>
        </w:tc>
        <w:tc>
          <w:tcPr>
            <w:tcW w:w="1110" w:type="pct"/>
            <w:tcBorders>
              <w:top w:val="nil"/>
              <w:left w:val="nil"/>
              <w:bottom w:val="single" w:sz="4" w:space="0" w:color="auto"/>
              <w:right w:val="single" w:sz="4" w:space="0" w:color="auto"/>
            </w:tcBorders>
            <w:vAlign w:val="center"/>
            <w:hideMark/>
          </w:tcPr>
          <w:p w14:paraId="4C0C9DE6"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18, 52, 67, 84, 91</w:t>
            </w:r>
          </w:p>
        </w:tc>
        <w:tc>
          <w:tcPr>
            <w:tcW w:w="1228" w:type="pct"/>
            <w:tcBorders>
              <w:top w:val="nil"/>
              <w:left w:val="nil"/>
              <w:bottom w:val="single" w:sz="4" w:space="0" w:color="auto"/>
              <w:right w:val="single" w:sz="4" w:space="0" w:color="auto"/>
            </w:tcBorders>
            <w:vAlign w:val="center"/>
            <w:hideMark/>
          </w:tcPr>
          <w:p w14:paraId="1B12584C"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5.1</w:t>
            </w:r>
          </w:p>
        </w:tc>
      </w:tr>
      <w:tr w:rsidR="001251AF" w:rsidRPr="00AE5F42" w14:paraId="661FD8D8" w14:textId="77777777" w:rsidTr="00CC46F9">
        <w:trPr>
          <w:trHeight w:val="720"/>
        </w:trPr>
        <w:tc>
          <w:tcPr>
            <w:tcW w:w="1228" w:type="pct"/>
            <w:tcBorders>
              <w:top w:val="nil"/>
              <w:left w:val="single" w:sz="4" w:space="0" w:color="auto"/>
              <w:bottom w:val="single" w:sz="4" w:space="0" w:color="auto"/>
              <w:right w:val="single" w:sz="4" w:space="0" w:color="auto"/>
            </w:tcBorders>
            <w:vAlign w:val="center"/>
            <w:hideMark/>
          </w:tcPr>
          <w:p w14:paraId="7EA1823C"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Masjid Jamiya Muhammadiyah, Phase 3, Hayatabad Peshawar</w:t>
            </w:r>
          </w:p>
        </w:tc>
        <w:tc>
          <w:tcPr>
            <w:tcW w:w="833" w:type="pct"/>
            <w:tcBorders>
              <w:top w:val="nil"/>
              <w:left w:val="nil"/>
              <w:bottom w:val="single" w:sz="4" w:space="0" w:color="auto"/>
              <w:right w:val="single" w:sz="4" w:space="0" w:color="auto"/>
            </w:tcBorders>
            <w:vAlign w:val="center"/>
            <w:hideMark/>
          </w:tcPr>
          <w:p w14:paraId="150E21E6"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Fajr, Zuhr, Asr, Maghrib Isha</w:t>
            </w:r>
          </w:p>
        </w:tc>
        <w:tc>
          <w:tcPr>
            <w:tcW w:w="600" w:type="pct"/>
            <w:tcBorders>
              <w:top w:val="nil"/>
              <w:left w:val="nil"/>
              <w:bottom w:val="single" w:sz="4" w:space="0" w:color="auto"/>
              <w:right w:val="single" w:sz="4" w:space="0" w:color="auto"/>
            </w:tcBorders>
            <w:vAlign w:val="center"/>
            <w:hideMark/>
          </w:tcPr>
          <w:p w14:paraId="5A372FD2"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25,140,155, 171, 188</w:t>
            </w:r>
          </w:p>
        </w:tc>
        <w:tc>
          <w:tcPr>
            <w:tcW w:w="1110" w:type="pct"/>
            <w:tcBorders>
              <w:top w:val="nil"/>
              <w:left w:val="nil"/>
              <w:bottom w:val="single" w:sz="4" w:space="0" w:color="auto"/>
              <w:right w:val="single" w:sz="4" w:space="0" w:color="auto"/>
            </w:tcBorders>
            <w:vAlign w:val="center"/>
            <w:hideMark/>
          </w:tcPr>
          <w:p w14:paraId="12327F22"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15, 44, 62, 71, 79</w:t>
            </w:r>
          </w:p>
        </w:tc>
        <w:tc>
          <w:tcPr>
            <w:tcW w:w="1228" w:type="pct"/>
            <w:tcBorders>
              <w:top w:val="nil"/>
              <w:left w:val="nil"/>
              <w:bottom w:val="single" w:sz="4" w:space="0" w:color="auto"/>
              <w:right w:val="single" w:sz="4" w:space="0" w:color="auto"/>
            </w:tcBorders>
            <w:vAlign w:val="center"/>
            <w:hideMark/>
          </w:tcPr>
          <w:p w14:paraId="3643E7C9"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4.8</w:t>
            </w:r>
          </w:p>
        </w:tc>
      </w:tr>
      <w:tr w:rsidR="001251AF" w:rsidRPr="00AE5F42" w14:paraId="1913122D" w14:textId="77777777" w:rsidTr="00CC46F9">
        <w:trPr>
          <w:trHeight w:val="53"/>
        </w:trPr>
        <w:tc>
          <w:tcPr>
            <w:tcW w:w="1228" w:type="pct"/>
            <w:tcBorders>
              <w:top w:val="nil"/>
              <w:left w:val="single" w:sz="4" w:space="0" w:color="auto"/>
              <w:bottom w:val="single" w:sz="4" w:space="0" w:color="auto"/>
              <w:right w:val="single" w:sz="4" w:space="0" w:color="auto"/>
            </w:tcBorders>
            <w:vAlign w:val="center"/>
            <w:hideMark/>
          </w:tcPr>
          <w:p w14:paraId="6ECEB39A"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Masjid Bilal, Hayatabad Phase 1 Peshawar</w:t>
            </w:r>
          </w:p>
        </w:tc>
        <w:tc>
          <w:tcPr>
            <w:tcW w:w="833" w:type="pct"/>
            <w:tcBorders>
              <w:top w:val="nil"/>
              <w:left w:val="nil"/>
              <w:bottom w:val="single" w:sz="4" w:space="0" w:color="auto"/>
              <w:right w:val="single" w:sz="4" w:space="0" w:color="auto"/>
            </w:tcBorders>
            <w:vAlign w:val="center"/>
            <w:hideMark/>
          </w:tcPr>
          <w:p w14:paraId="0ACD12AF"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Fajr, Zuhr, Asr, Maghrib Isha</w:t>
            </w:r>
          </w:p>
        </w:tc>
        <w:tc>
          <w:tcPr>
            <w:tcW w:w="600" w:type="pct"/>
            <w:tcBorders>
              <w:top w:val="nil"/>
              <w:left w:val="nil"/>
              <w:bottom w:val="single" w:sz="4" w:space="0" w:color="auto"/>
              <w:right w:val="single" w:sz="4" w:space="0" w:color="auto"/>
            </w:tcBorders>
            <w:vAlign w:val="center"/>
            <w:hideMark/>
          </w:tcPr>
          <w:p w14:paraId="7852813D"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41,52,47,68,75</w:t>
            </w:r>
          </w:p>
        </w:tc>
        <w:tc>
          <w:tcPr>
            <w:tcW w:w="1110" w:type="pct"/>
            <w:tcBorders>
              <w:top w:val="nil"/>
              <w:left w:val="nil"/>
              <w:bottom w:val="single" w:sz="4" w:space="0" w:color="auto"/>
              <w:right w:val="single" w:sz="4" w:space="0" w:color="auto"/>
            </w:tcBorders>
            <w:vAlign w:val="center"/>
            <w:hideMark/>
          </w:tcPr>
          <w:p w14:paraId="1034EDCF"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20,38, 32, 39, 34</w:t>
            </w:r>
          </w:p>
        </w:tc>
        <w:tc>
          <w:tcPr>
            <w:tcW w:w="1228" w:type="pct"/>
            <w:tcBorders>
              <w:top w:val="nil"/>
              <w:left w:val="nil"/>
              <w:bottom w:val="single" w:sz="4" w:space="0" w:color="auto"/>
              <w:right w:val="single" w:sz="4" w:space="0" w:color="auto"/>
            </w:tcBorders>
            <w:vAlign w:val="center"/>
            <w:hideMark/>
          </w:tcPr>
          <w:p w14:paraId="5993E05C"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4.7</w:t>
            </w:r>
          </w:p>
        </w:tc>
      </w:tr>
      <w:tr w:rsidR="001251AF" w:rsidRPr="00AE5F42" w14:paraId="54452886" w14:textId="77777777" w:rsidTr="00CC46F9">
        <w:trPr>
          <w:trHeight w:val="53"/>
        </w:trPr>
        <w:tc>
          <w:tcPr>
            <w:tcW w:w="1228" w:type="pct"/>
            <w:tcBorders>
              <w:top w:val="nil"/>
              <w:left w:val="single" w:sz="4" w:space="0" w:color="auto"/>
              <w:bottom w:val="single" w:sz="4" w:space="0" w:color="auto"/>
              <w:right w:val="single" w:sz="4" w:space="0" w:color="auto"/>
            </w:tcBorders>
            <w:vAlign w:val="center"/>
            <w:hideMark/>
          </w:tcPr>
          <w:p w14:paraId="0BACF948"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Masjid Mustafa Phase 3, Hayatabad</w:t>
            </w:r>
            <w:r>
              <w:rPr>
                <w:rFonts w:ascii="Garamond" w:eastAsia="Times New Roman" w:hAnsi="Garamond" w:cs="Calibri"/>
                <w:sz w:val="24"/>
                <w:szCs w:val="24"/>
              </w:rPr>
              <w:t>,</w:t>
            </w:r>
            <w:r w:rsidRPr="00AE5F42">
              <w:rPr>
                <w:rFonts w:ascii="Garamond" w:eastAsia="Times New Roman" w:hAnsi="Garamond" w:cs="Calibri"/>
                <w:sz w:val="24"/>
                <w:szCs w:val="24"/>
              </w:rPr>
              <w:t xml:space="preserve"> Peshawar</w:t>
            </w:r>
          </w:p>
        </w:tc>
        <w:tc>
          <w:tcPr>
            <w:tcW w:w="833" w:type="pct"/>
            <w:tcBorders>
              <w:top w:val="nil"/>
              <w:left w:val="nil"/>
              <w:bottom w:val="single" w:sz="4" w:space="0" w:color="auto"/>
              <w:right w:val="single" w:sz="4" w:space="0" w:color="auto"/>
            </w:tcBorders>
            <w:vAlign w:val="center"/>
            <w:hideMark/>
          </w:tcPr>
          <w:p w14:paraId="05E3E3BA"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Fajr, Zuhr, Asr, Maghrib Isha</w:t>
            </w:r>
          </w:p>
        </w:tc>
        <w:tc>
          <w:tcPr>
            <w:tcW w:w="600" w:type="pct"/>
            <w:tcBorders>
              <w:top w:val="nil"/>
              <w:left w:val="nil"/>
              <w:bottom w:val="single" w:sz="4" w:space="0" w:color="auto"/>
              <w:right w:val="single" w:sz="4" w:space="0" w:color="auto"/>
            </w:tcBorders>
            <w:vAlign w:val="center"/>
            <w:hideMark/>
          </w:tcPr>
          <w:p w14:paraId="12A3FC43"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35, 117, 140, 212, 301</w:t>
            </w:r>
          </w:p>
        </w:tc>
        <w:tc>
          <w:tcPr>
            <w:tcW w:w="1110" w:type="pct"/>
            <w:tcBorders>
              <w:top w:val="nil"/>
              <w:left w:val="nil"/>
              <w:bottom w:val="single" w:sz="4" w:space="0" w:color="auto"/>
              <w:right w:val="single" w:sz="4" w:space="0" w:color="auto"/>
            </w:tcBorders>
            <w:vAlign w:val="center"/>
            <w:hideMark/>
          </w:tcPr>
          <w:p w14:paraId="381157D4"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18, 54, 57, 77, 98</w:t>
            </w:r>
          </w:p>
        </w:tc>
        <w:tc>
          <w:tcPr>
            <w:tcW w:w="1228" w:type="pct"/>
            <w:tcBorders>
              <w:top w:val="nil"/>
              <w:left w:val="nil"/>
              <w:bottom w:val="single" w:sz="4" w:space="0" w:color="auto"/>
              <w:right w:val="single" w:sz="4" w:space="0" w:color="auto"/>
            </w:tcBorders>
            <w:vAlign w:val="center"/>
            <w:hideMark/>
          </w:tcPr>
          <w:p w14:paraId="0C63306B"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5.5</w:t>
            </w:r>
          </w:p>
        </w:tc>
      </w:tr>
      <w:tr w:rsidR="001251AF" w:rsidRPr="00AE5F42" w14:paraId="00966F83" w14:textId="77777777" w:rsidTr="00CC46F9">
        <w:trPr>
          <w:trHeight w:val="1080"/>
        </w:trPr>
        <w:tc>
          <w:tcPr>
            <w:tcW w:w="1228" w:type="pct"/>
            <w:tcBorders>
              <w:top w:val="nil"/>
              <w:left w:val="single" w:sz="4" w:space="0" w:color="auto"/>
              <w:bottom w:val="single" w:sz="4" w:space="0" w:color="auto"/>
              <w:right w:val="single" w:sz="4" w:space="0" w:color="auto"/>
            </w:tcBorders>
            <w:vAlign w:val="center"/>
            <w:hideMark/>
          </w:tcPr>
          <w:p w14:paraId="7C308A99"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Masjid Jamiya Muhammadiyah, F-5 Phase 6, Hayatabad Peshawar</w:t>
            </w:r>
          </w:p>
        </w:tc>
        <w:tc>
          <w:tcPr>
            <w:tcW w:w="833" w:type="pct"/>
            <w:tcBorders>
              <w:top w:val="nil"/>
              <w:left w:val="nil"/>
              <w:bottom w:val="single" w:sz="4" w:space="0" w:color="auto"/>
              <w:right w:val="single" w:sz="4" w:space="0" w:color="auto"/>
            </w:tcBorders>
            <w:vAlign w:val="center"/>
            <w:hideMark/>
          </w:tcPr>
          <w:p w14:paraId="6D41FB54" w14:textId="77777777" w:rsidR="001251AF" w:rsidRPr="00AE5F42" w:rsidRDefault="001251AF" w:rsidP="00CC46F9">
            <w:pPr>
              <w:spacing w:after="0" w:line="240" w:lineRule="auto"/>
              <w:rPr>
                <w:rFonts w:ascii="Garamond" w:eastAsia="Times New Roman" w:hAnsi="Garamond" w:cs="Calibri"/>
                <w:sz w:val="24"/>
                <w:szCs w:val="24"/>
              </w:rPr>
            </w:pPr>
            <w:r w:rsidRPr="00AE5F42">
              <w:rPr>
                <w:rFonts w:ascii="Garamond" w:eastAsia="Times New Roman" w:hAnsi="Garamond" w:cs="Calibri"/>
                <w:sz w:val="24"/>
                <w:szCs w:val="24"/>
              </w:rPr>
              <w:t>Fajr, Zuhr, Asr, Maghrib Isha</w:t>
            </w:r>
          </w:p>
        </w:tc>
        <w:tc>
          <w:tcPr>
            <w:tcW w:w="600" w:type="pct"/>
            <w:tcBorders>
              <w:top w:val="nil"/>
              <w:left w:val="nil"/>
              <w:bottom w:val="single" w:sz="4" w:space="0" w:color="auto"/>
              <w:right w:val="single" w:sz="4" w:space="0" w:color="auto"/>
            </w:tcBorders>
            <w:vAlign w:val="center"/>
            <w:hideMark/>
          </w:tcPr>
          <w:p w14:paraId="1753A726"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25,113,120, 155, 197</w:t>
            </w:r>
          </w:p>
        </w:tc>
        <w:tc>
          <w:tcPr>
            <w:tcW w:w="1110" w:type="pct"/>
            <w:tcBorders>
              <w:top w:val="nil"/>
              <w:left w:val="nil"/>
              <w:bottom w:val="single" w:sz="4" w:space="0" w:color="auto"/>
              <w:right w:val="single" w:sz="4" w:space="0" w:color="auto"/>
            </w:tcBorders>
            <w:vAlign w:val="center"/>
            <w:hideMark/>
          </w:tcPr>
          <w:p w14:paraId="7F402A5A"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17, 31, 48, 55, 60</w:t>
            </w:r>
          </w:p>
        </w:tc>
        <w:tc>
          <w:tcPr>
            <w:tcW w:w="1228" w:type="pct"/>
            <w:tcBorders>
              <w:top w:val="nil"/>
              <w:left w:val="nil"/>
              <w:bottom w:val="single" w:sz="4" w:space="0" w:color="auto"/>
              <w:right w:val="single" w:sz="4" w:space="0" w:color="auto"/>
            </w:tcBorders>
            <w:vAlign w:val="center"/>
            <w:hideMark/>
          </w:tcPr>
          <w:p w14:paraId="5BA5BED2" w14:textId="77777777" w:rsidR="001251AF" w:rsidRPr="00AE5F42" w:rsidRDefault="001251AF" w:rsidP="00CC46F9">
            <w:pPr>
              <w:spacing w:after="0" w:line="240" w:lineRule="auto"/>
              <w:jc w:val="center"/>
              <w:rPr>
                <w:rFonts w:ascii="Garamond" w:eastAsia="Times New Roman" w:hAnsi="Garamond" w:cs="Calibri"/>
                <w:sz w:val="24"/>
                <w:szCs w:val="24"/>
              </w:rPr>
            </w:pPr>
            <w:r w:rsidRPr="00AE5F42">
              <w:rPr>
                <w:rFonts w:ascii="Garamond" w:eastAsia="Times New Roman" w:hAnsi="Garamond" w:cs="Calibri"/>
                <w:sz w:val="24"/>
                <w:szCs w:val="24"/>
              </w:rPr>
              <w:t>4.9</w:t>
            </w:r>
          </w:p>
        </w:tc>
      </w:tr>
    </w:tbl>
    <w:p w14:paraId="60635DCE" w14:textId="18041FED" w:rsidR="0083501F" w:rsidRDefault="0083501F" w:rsidP="008F5CEC">
      <w:pPr>
        <w:spacing w:after="0" w:line="240" w:lineRule="auto"/>
        <w:jc w:val="center"/>
        <w:rPr>
          <w:rFonts w:ascii="Garamond" w:hAnsi="Garamond"/>
          <w:color w:val="000000" w:themeColor="text1"/>
          <w:sz w:val="24"/>
          <w:szCs w:val="24"/>
        </w:rPr>
      </w:pPr>
      <w:r w:rsidRPr="009F6119">
        <w:rPr>
          <w:rFonts w:ascii="Garamond" w:hAnsi="Garamond"/>
          <w:b/>
          <w:bCs/>
          <w:color w:val="000000" w:themeColor="text1"/>
          <w:sz w:val="24"/>
          <w:szCs w:val="24"/>
        </w:rPr>
        <w:t xml:space="preserve">Table </w:t>
      </w:r>
      <w:r w:rsidRPr="009F6119">
        <w:rPr>
          <w:rFonts w:ascii="Garamond" w:hAnsi="Garamond"/>
          <w:b/>
          <w:bCs/>
          <w:color w:val="000000" w:themeColor="text1"/>
          <w:sz w:val="24"/>
          <w:szCs w:val="24"/>
        </w:rPr>
        <w:fldChar w:fldCharType="begin"/>
      </w:r>
      <w:r w:rsidRPr="009F6119">
        <w:rPr>
          <w:rFonts w:ascii="Garamond" w:hAnsi="Garamond"/>
          <w:b/>
          <w:bCs/>
          <w:color w:val="000000" w:themeColor="text1"/>
          <w:sz w:val="24"/>
          <w:szCs w:val="24"/>
        </w:rPr>
        <w:instrText xml:space="preserve"> SEQ Table \* ARABIC \s 1 </w:instrText>
      </w:r>
      <w:r w:rsidRPr="009F6119">
        <w:rPr>
          <w:rFonts w:ascii="Garamond" w:hAnsi="Garamond"/>
          <w:b/>
          <w:bCs/>
          <w:color w:val="000000" w:themeColor="text1"/>
          <w:sz w:val="24"/>
          <w:szCs w:val="24"/>
        </w:rPr>
        <w:fldChar w:fldCharType="separate"/>
      </w:r>
      <w:r w:rsidR="002666D3">
        <w:rPr>
          <w:rFonts w:ascii="Garamond" w:hAnsi="Garamond"/>
          <w:b/>
          <w:bCs/>
          <w:noProof/>
          <w:color w:val="000000" w:themeColor="text1"/>
          <w:sz w:val="24"/>
          <w:szCs w:val="24"/>
        </w:rPr>
        <w:t>2</w:t>
      </w:r>
      <w:r w:rsidRPr="009F6119">
        <w:rPr>
          <w:rFonts w:ascii="Garamond" w:hAnsi="Garamond"/>
          <w:b/>
          <w:bCs/>
          <w:color w:val="000000" w:themeColor="text1"/>
          <w:sz w:val="24"/>
          <w:szCs w:val="24"/>
        </w:rPr>
        <w:fldChar w:fldCharType="end"/>
      </w:r>
      <w:r w:rsidR="001251AF">
        <w:rPr>
          <w:rFonts w:ascii="Garamond" w:hAnsi="Garamond"/>
          <w:b/>
          <w:bCs/>
          <w:color w:val="000000" w:themeColor="text1"/>
          <w:sz w:val="24"/>
          <w:szCs w:val="24"/>
        </w:rPr>
        <w:t>.</w:t>
      </w:r>
      <w:r w:rsidRPr="00AE5F42">
        <w:rPr>
          <w:rFonts w:ascii="Garamond" w:hAnsi="Garamond"/>
          <w:b/>
          <w:bCs/>
          <w:color w:val="000000" w:themeColor="text1"/>
          <w:sz w:val="24"/>
          <w:szCs w:val="24"/>
        </w:rPr>
        <w:t xml:space="preserve"> </w:t>
      </w:r>
      <w:r w:rsidRPr="001251AF">
        <w:rPr>
          <w:rFonts w:ascii="Garamond" w:hAnsi="Garamond"/>
          <w:color w:val="000000" w:themeColor="text1"/>
          <w:sz w:val="24"/>
          <w:szCs w:val="24"/>
        </w:rPr>
        <w:t>Green belt area in each phase</w:t>
      </w:r>
    </w:p>
    <w:tbl>
      <w:tblPr>
        <w:tblW w:w="1666" w:type="pct"/>
        <w:jc w:val="center"/>
        <w:tblLook w:val="04A0" w:firstRow="1" w:lastRow="0" w:firstColumn="1" w:lastColumn="0" w:noHBand="0" w:noVBand="1"/>
      </w:tblPr>
      <w:tblGrid>
        <w:gridCol w:w="789"/>
        <w:gridCol w:w="946"/>
        <w:gridCol w:w="1141"/>
      </w:tblGrid>
      <w:tr w:rsidR="008F5CEC" w:rsidRPr="00AE5F42" w14:paraId="3D7FF062" w14:textId="77777777" w:rsidTr="008F5CEC">
        <w:trPr>
          <w:trHeight w:val="53"/>
          <w:jc w:val="center"/>
        </w:trPr>
        <w:tc>
          <w:tcPr>
            <w:tcW w:w="1372" w:type="pct"/>
            <w:tcBorders>
              <w:top w:val="single" w:sz="4" w:space="0" w:color="auto"/>
              <w:left w:val="single" w:sz="4" w:space="0" w:color="auto"/>
              <w:bottom w:val="single" w:sz="4" w:space="0" w:color="auto"/>
              <w:right w:val="single" w:sz="4" w:space="0" w:color="auto"/>
            </w:tcBorders>
            <w:noWrap/>
            <w:vAlign w:val="bottom"/>
            <w:hideMark/>
          </w:tcPr>
          <w:p w14:paraId="4B542A96" w14:textId="77777777" w:rsidR="008F5CEC" w:rsidRPr="00AE5F42" w:rsidRDefault="008F5CEC" w:rsidP="00CC46F9">
            <w:pPr>
              <w:spacing w:after="0" w:line="240" w:lineRule="auto"/>
              <w:jc w:val="center"/>
              <w:rPr>
                <w:rFonts w:ascii="Garamond" w:eastAsia="Times New Roman" w:hAnsi="Garamond" w:cs="Calibri"/>
                <w:b/>
                <w:bCs/>
                <w:color w:val="000000"/>
                <w:sz w:val="24"/>
                <w:szCs w:val="24"/>
              </w:rPr>
            </w:pPr>
            <w:r w:rsidRPr="00AE5F42">
              <w:rPr>
                <w:rFonts w:ascii="Garamond" w:eastAsia="Times New Roman" w:hAnsi="Garamond" w:cs="Calibri"/>
                <w:b/>
                <w:bCs/>
                <w:color w:val="000000"/>
                <w:sz w:val="24"/>
                <w:szCs w:val="24"/>
              </w:rPr>
              <w:t>S. No</w:t>
            </w:r>
          </w:p>
        </w:tc>
        <w:tc>
          <w:tcPr>
            <w:tcW w:w="1645" w:type="pct"/>
            <w:tcBorders>
              <w:top w:val="single" w:sz="4" w:space="0" w:color="auto"/>
              <w:left w:val="nil"/>
              <w:bottom w:val="single" w:sz="4" w:space="0" w:color="auto"/>
              <w:right w:val="single" w:sz="4" w:space="0" w:color="auto"/>
            </w:tcBorders>
            <w:noWrap/>
            <w:vAlign w:val="bottom"/>
            <w:hideMark/>
          </w:tcPr>
          <w:p w14:paraId="76F28FBC" w14:textId="77777777" w:rsidR="008F5CEC" w:rsidRPr="00AE5F42" w:rsidRDefault="008F5CEC" w:rsidP="00CC46F9">
            <w:pPr>
              <w:spacing w:after="0" w:line="240" w:lineRule="auto"/>
              <w:jc w:val="center"/>
              <w:rPr>
                <w:rFonts w:ascii="Garamond" w:eastAsia="Times New Roman" w:hAnsi="Garamond" w:cs="Calibri"/>
                <w:b/>
                <w:bCs/>
                <w:color w:val="000000"/>
                <w:sz w:val="24"/>
                <w:szCs w:val="24"/>
              </w:rPr>
            </w:pPr>
            <w:r w:rsidRPr="00AE5F42">
              <w:rPr>
                <w:rFonts w:ascii="Garamond" w:eastAsia="Times New Roman" w:hAnsi="Garamond" w:cs="Calibri"/>
                <w:b/>
                <w:bCs/>
                <w:color w:val="000000"/>
                <w:sz w:val="24"/>
                <w:szCs w:val="24"/>
              </w:rPr>
              <w:t>Phase</w:t>
            </w:r>
          </w:p>
        </w:tc>
        <w:tc>
          <w:tcPr>
            <w:tcW w:w="1984" w:type="pct"/>
            <w:tcBorders>
              <w:top w:val="single" w:sz="4" w:space="0" w:color="auto"/>
              <w:left w:val="nil"/>
              <w:bottom w:val="single" w:sz="4" w:space="0" w:color="auto"/>
              <w:right w:val="single" w:sz="4" w:space="0" w:color="auto"/>
            </w:tcBorders>
            <w:noWrap/>
            <w:vAlign w:val="bottom"/>
            <w:hideMark/>
          </w:tcPr>
          <w:p w14:paraId="528117EE" w14:textId="77777777" w:rsidR="008F5CEC" w:rsidRPr="00AE5F42" w:rsidRDefault="008F5CEC" w:rsidP="00CC46F9">
            <w:pPr>
              <w:spacing w:after="0" w:line="240" w:lineRule="auto"/>
              <w:jc w:val="center"/>
              <w:rPr>
                <w:rFonts w:ascii="Garamond" w:eastAsia="Times New Roman" w:hAnsi="Garamond" w:cs="Calibri"/>
                <w:b/>
                <w:bCs/>
                <w:color w:val="000000"/>
                <w:sz w:val="24"/>
                <w:szCs w:val="24"/>
              </w:rPr>
            </w:pPr>
            <w:r w:rsidRPr="00AE5F42">
              <w:rPr>
                <w:rFonts w:ascii="Garamond" w:eastAsia="Times New Roman" w:hAnsi="Garamond" w:cs="Calibri"/>
                <w:b/>
                <w:bCs/>
                <w:color w:val="000000"/>
                <w:sz w:val="24"/>
                <w:szCs w:val="24"/>
              </w:rPr>
              <w:t>Area (ft</w:t>
            </w:r>
            <w:r w:rsidRPr="00AE5F42">
              <w:rPr>
                <w:rFonts w:ascii="Garamond" w:eastAsia="Times New Roman" w:hAnsi="Garamond" w:cs="Calibri"/>
                <w:b/>
                <w:bCs/>
                <w:color w:val="000000"/>
                <w:sz w:val="24"/>
                <w:szCs w:val="24"/>
                <w:vertAlign w:val="superscript"/>
              </w:rPr>
              <w:t>2</w:t>
            </w:r>
            <w:r w:rsidRPr="00AE5F42">
              <w:rPr>
                <w:rFonts w:ascii="Garamond" w:eastAsia="Times New Roman" w:hAnsi="Garamond" w:cs="Calibri"/>
                <w:b/>
                <w:bCs/>
                <w:color w:val="000000"/>
                <w:sz w:val="24"/>
                <w:szCs w:val="24"/>
              </w:rPr>
              <w:t>)</w:t>
            </w:r>
          </w:p>
        </w:tc>
      </w:tr>
      <w:tr w:rsidR="008F5CEC" w:rsidRPr="00AE5F42" w14:paraId="77F4478F" w14:textId="77777777" w:rsidTr="008F5CEC">
        <w:trPr>
          <w:trHeight w:val="53"/>
          <w:jc w:val="center"/>
        </w:trPr>
        <w:tc>
          <w:tcPr>
            <w:tcW w:w="1372" w:type="pct"/>
            <w:tcBorders>
              <w:top w:val="nil"/>
              <w:left w:val="single" w:sz="4" w:space="0" w:color="auto"/>
              <w:bottom w:val="single" w:sz="4" w:space="0" w:color="auto"/>
              <w:right w:val="single" w:sz="4" w:space="0" w:color="auto"/>
            </w:tcBorders>
            <w:noWrap/>
            <w:vAlign w:val="bottom"/>
            <w:hideMark/>
          </w:tcPr>
          <w:p w14:paraId="7035C128"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1</w:t>
            </w:r>
          </w:p>
        </w:tc>
        <w:tc>
          <w:tcPr>
            <w:tcW w:w="1645" w:type="pct"/>
            <w:tcBorders>
              <w:top w:val="nil"/>
              <w:left w:val="nil"/>
              <w:bottom w:val="single" w:sz="4" w:space="0" w:color="auto"/>
              <w:right w:val="single" w:sz="4" w:space="0" w:color="auto"/>
            </w:tcBorders>
            <w:noWrap/>
            <w:vAlign w:val="bottom"/>
            <w:hideMark/>
          </w:tcPr>
          <w:p w14:paraId="59400867"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Phase-1</w:t>
            </w:r>
          </w:p>
        </w:tc>
        <w:tc>
          <w:tcPr>
            <w:tcW w:w="1984" w:type="pct"/>
            <w:tcBorders>
              <w:top w:val="nil"/>
              <w:left w:val="nil"/>
              <w:bottom w:val="single" w:sz="4" w:space="0" w:color="auto"/>
              <w:right w:val="single" w:sz="4" w:space="0" w:color="auto"/>
            </w:tcBorders>
            <w:noWrap/>
            <w:vAlign w:val="bottom"/>
            <w:hideMark/>
          </w:tcPr>
          <w:p w14:paraId="088F2E6A"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45202.8</w:t>
            </w:r>
          </w:p>
        </w:tc>
      </w:tr>
      <w:tr w:rsidR="008F5CEC" w:rsidRPr="00AE5F42" w14:paraId="5E10626C" w14:textId="77777777" w:rsidTr="008F5CEC">
        <w:trPr>
          <w:trHeight w:val="53"/>
          <w:jc w:val="center"/>
        </w:trPr>
        <w:tc>
          <w:tcPr>
            <w:tcW w:w="1372" w:type="pct"/>
            <w:tcBorders>
              <w:top w:val="nil"/>
              <w:left w:val="single" w:sz="4" w:space="0" w:color="auto"/>
              <w:bottom w:val="single" w:sz="4" w:space="0" w:color="auto"/>
              <w:right w:val="single" w:sz="4" w:space="0" w:color="auto"/>
            </w:tcBorders>
            <w:noWrap/>
            <w:vAlign w:val="bottom"/>
            <w:hideMark/>
          </w:tcPr>
          <w:p w14:paraId="716A3BD9"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2</w:t>
            </w:r>
          </w:p>
        </w:tc>
        <w:tc>
          <w:tcPr>
            <w:tcW w:w="1645" w:type="pct"/>
            <w:tcBorders>
              <w:top w:val="nil"/>
              <w:left w:val="nil"/>
              <w:bottom w:val="single" w:sz="4" w:space="0" w:color="auto"/>
              <w:right w:val="single" w:sz="4" w:space="0" w:color="auto"/>
            </w:tcBorders>
            <w:noWrap/>
            <w:vAlign w:val="bottom"/>
            <w:hideMark/>
          </w:tcPr>
          <w:p w14:paraId="1386DA43"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Phase-2</w:t>
            </w:r>
          </w:p>
        </w:tc>
        <w:tc>
          <w:tcPr>
            <w:tcW w:w="1984" w:type="pct"/>
            <w:tcBorders>
              <w:top w:val="nil"/>
              <w:left w:val="nil"/>
              <w:bottom w:val="single" w:sz="4" w:space="0" w:color="auto"/>
              <w:right w:val="single" w:sz="4" w:space="0" w:color="auto"/>
            </w:tcBorders>
            <w:noWrap/>
            <w:vAlign w:val="bottom"/>
            <w:hideMark/>
          </w:tcPr>
          <w:p w14:paraId="376FFB81"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621164.9</w:t>
            </w:r>
          </w:p>
        </w:tc>
      </w:tr>
      <w:tr w:rsidR="008F5CEC" w:rsidRPr="00AE5F42" w14:paraId="13793AE7" w14:textId="77777777" w:rsidTr="008F5CEC">
        <w:trPr>
          <w:trHeight w:val="53"/>
          <w:jc w:val="center"/>
        </w:trPr>
        <w:tc>
          <w:tcPr>
            <w:tcW w:w="1372" w:type="pct"/>
            <w:tcBorders>
              <w:top w:val="nil"/>
              <w:left w:val="single" w:sz="4" w:space="0" w:color="auto"/>
              <w:bottom w:val="single" w:sz="4" w:space="0" w:color="auto"/>
              <w:right w:val="single" w:sz="4" w:space="0" w:color="auto"/>
            </w:tcBorders>
            <w:noWrap/>
            <w:vAlign w:val="bottom"/>
            <w:hideMark/>
          </w:tcPr>
          <w:p w14:paraId="359CABEA"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3</w:t>
            </w:r>
          </w:p>
        </w:tc>
        <w:tc>
          <w:tcPr>
            <w:tcW w:w="1645" w:type="pct"/>
            <w:tcBorders>
              <w:top w:val="nil"/>
              <w:left w:val="nil"/>
              <w:bottom w:val="single" w:sz="4" w:space="0" w:color="auto"/>
              <w:right w:val="single" w:sz="4" w:space="0" w:color="auto"/>
            </w:tcBorders>
            <w:noWrap/>
            <w:vAlign w:val="bottom"/>
            <w:hideMark/>
          </w:tcPr>
          <w:p w14:paraId="567C1250"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Phase-3</w:t>
            </w:r>
          </w:p>
        </w:tc>
        <w:tc>
          <w:tcPr>
            <w:tcW w:w="1984" w:type="pct"/>
            <w:tcBorders>
              <w:top w:val="nil"/>
              <w:left w:val="nil"/>
              <w:bottom w:val="single" w:sz="4" w:space="0" w:color="auto"/>
              <w:right w:val="single" w:sz="4" w:space="0" w:color="auto"/>
            </w:tcBorders>
            <w:noWrap/>
            <w:vAlign w:val="bottom"/>
            <w:hideMark/>
          </w:tcPr>
          <w:p w14:paraId="70D76CE3"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320914</w:t>
            </w:r>
          </w:p>
        </w:tc>
      </w:tr>
      <w:tr w:rsidR="008F5CEC" w:rsidRPr="00AE5F42" w14:paraId="4A6EC04C" w14:textId="77777777" w:rsidTr="008F5CEC">
        <w:trPr>
          <w:trHeight w:val="53"/>
          <w:jc w:val="center"/>
        </w:trPr>
        <w:tc>
          <w:tcPr>
            <w:tcW w:w="1372" w:type="pct"/>
            <w:tcBorders>
              <w:top w:val="nil"/>
              <w:left w:val="single" w:sz="4" w:space="0" w:color="auto"/>
              <w:bottom w:val="single" w:sz="4" w:space="0" w:color="auto"/>
              <w:right w:val="single" w:sz="4" w:space="0" w:color="auto"/>
            </w:tcBorders>
            <w:noWrap/>
            <w:vAlign w:val="bottom"/>
            <w:hideMark/>
          </w:tcPr>
          <w:p w14:paraId="2CD55BE7"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4</w:t>
            </w:r>
          </w:p>
        </w:tc>
        <w:tc>
          <w:tcPr>
            <w:tcW w:w="1645" w:type="pct"/>
            <w:tcBorders>
              <w:top w:val="nil"/>
              <w:left w:val="nil"/>
              <w:bottom w:val="single" w:sz="4" w:space="0" w:color="auto"/>
              <w:right w:val="single" w:sz="4" w:space="0" w:color="auto"/>
            </w:tcBorders>
            <w:noWrap/>
            <w:vAlign w:val="bottom"/>
            <w:hideMark/>
          </w:tcPr>
          <w:p w14:paraId="1033784D"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Phase-4</w:t>
            </w:r>
          </w:p>
        </w:tc>
        <w:tc>
          <w:tcPr>
            <w:tcW w:w="1984" w:type="pct"/>
            <w:tcBorders>
              <w:top w:val="nil"/>
              <w:left w:val="nil"/>
              <w:bottom w:val="single" w:sz="4" w:space="0" w:color="auto"/>
              <w:right w:val="single" w:sz="4" w:space="0" w:color="auto"/>
            </w:tcBorders>
            <w:noWrap/>
            <w:vAlign w:val="bottom"/>
            <w:hideMark/>
          </w:tcPr>
          <w:p w14:paraId="219ACB1C"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168113.4</w:t>
            </w:r>
          </w:p>
        </w:tc>
      </w:tr>
      <w:tr w:rsidR="008F5CEC" w:rsidRPr="00AE5F42" w14:paraId="6E7DF374" w14:textId="77777777" w:rsidTr="008F5CEC">
        <w:trPr>
          <w:trHeight w:val="53"/>
          <w:jc w:val="center"/>
        </w:trPr>
        <w:tc>
          <w:tcPr>
            <w:tcW w:w="1372" w:type="pct"/>
            <w:tcBorders>
              <w:top w:val="nil"/>
              <w:left w:val="single" w:sz="4" w:space="0" w:color="auto"/>
              <w:bottom w:val="single" w:sz="4" w:space="0" w:color="auto"/>
              <w:right w:val="single" w:sz="4" w:space="0" w:color="auto"/>
            </w:tcBorders>
            <w:noWrap/>
            <w:vAlign w:val="bottom"/>
            <w:hideMark/>
          </w:tcPr>
          <w:p w14:paraId="15D3F642"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5</w:t>
            </w:r>
          </w:p>
        </w:tc>
        <w:tc>
          <w:tcPr>
            <w:tcW w:w="1645" w:type="pct"/>
            <w:tcBorders>
              <w:top w:val="nil"/>
              <w:left w:val="nil"/>
              <w:bottom w:val="single" w:sz="4" w:space="0" w:color="auto"/>
              <w:right w:val="single" w:sz="4" w:space="0" w:color="auto"/>
            </w:tcBorders>
            <w:noWrap/>
            <w:vAlign w:val="bottom"/>
            <w:hideMark/>
          </w:tcPr>
          <w:p w14:paraId="7F9B02DC"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Phase-5</w:t>
            </w:r>
          </w:p>
        </w:tc>
        <w:tc>
          <w:tcPr>
            <w:tcW w:w="1984" w:type="pct"/>
            <w:tcBorders>
              <w:top w:val="nil"/>
              <w:left w:val="nil"/>
              <w:bottom w:val="single" w:sz="4" w:space="0" w:color="auto"/>
              <w:right w:val="single" w:sz="4" w:space="0" w:color="auto"/>
            </w:tcBorders>
            <w:noWrap/>
            <w:vAlign w:val="bottom"/>
            <w:hideMark/>
          </w:tcPr>
          <w:p w14:paraId="78C9BDA9"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167549.9</w:t>
            </w:r>
          </w:p>
        </w:tc>
      </w:tr>
      <w:tr w:rsidR="008F5CEC" w:rsidRPr="00AE5F42" w14:paraId="06600DA2" w14:textId="77777777" w:rsidTr="008F5CEC">
        <w:trPr>
          <w:trHeight w:val="53"/>
          <w:jc w:val="center"/>
        </w:trPr>
        <w:tc>
          <w:tcPr>
            <w:tcW w:w="1372" w:type="pct"/>
            <w:tcBorders>
              <w:top w:val="nil"/>
              <w:left w:val="single" w:sz="4" w:space="0" w:color="auto"/>
              <w:bottom w:val="single" w:sz="4" w:space="0" w:color="auto"/>
              <w:right w:val="single" w:sz="4" w:space="0" w:color="auto"/>
            </w:tcBorders>
            <w:noWrap/>
            <w:vAlign w:val="bottom"/>
            <w:hideMark/>
          </w:tcPr>
          <w:p w14:paraId="70F19B1B"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6</w:t>
            </w:r>
          </w:p>
        </w:tc>
        <w:tc>
          <w:tcPr>
            <w:tcW w:w="1645" w:type="pct"/>
            <w:tcBorders>
              <w:top w:val="nil"/>
              <w:left w:val="nil"/>
              <w:bottom w:val="single" w:sz="4" w:space="0" w:color="auto"/>
              <w:right w:val="single" w:sz="4" w:space="0" w:color="auto"/>
            </w:tcBorders>
            <w:noWrap/>
            <w:vAlign w:val="bottom"/>
            <w:hideMark/>
          </w:tcPr>
          <w:p w14:paraId="7FD83F49"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Phase-6</w:t>
            </w:r>
          </w:p>
        </w:tc>
        <w:tc>
          <w:tcPr>
            <w:tcW w:w="1984" w:type="pct"/>
            <w:tcBorders>
              <w:top w:val="nil"/>
              <w:left w:val="nil"/>
              <w:bottom w:val="single" w:sz="4" w:space="0" w:color="auto"/>
              <w:right w:val="single" w:sz="4" w:space="0" w:color="auto"/>
            </w:tcBorders>
            <w:noWrap/>
            <w:vAlign w:val="bottom"/>
            <w:hideMark/>
          </w:tcPr>
          <w:p w14:paraId="2600C3B0"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300439</w:t>
            </w:r>
          </w:p>
        </w:tc>
      </w:tr>
      <w:tr w:rsidR="008F5CEC" w:rsidRPr="00AE5F42" w14:paraId="097EBCAB" w14:textId="77777777" w:rsidTr="008F5CEC">
        <w:trPr>
          <w:trHeight w:val="53"/>
          <w:jc w:val="center"/>
        </w:trPr>
        <w:tc>
          <w:tcPr>
            <w:tcW w:w="1372" w:type="pct"/>
            <w:tcBorders>
              <w:top w:val="nil"/>
              <w:left w:val="single" w:sz="4" w:space="0" w:color="auto"/>
              <w:bottom w:val="single" w:sz="4" w:space="0" w:color="auto"/>
              <w:right w:val="single" w:sz="4" w:space="0" w:color="auto"/>
            </w:tcBorders>
            <w:noWrap/>
            <w:vAlign w:val="bottom"/>
            <w:hideMark/>
          </w:tcPr>
          <w:p w14:paraId="2DF7B966"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7</w:t>
            </w:r>
          </w:p>
        </w:tc>
        <w:tc>
          <w:tcPr>
            <w:tcW w:w="1645" w:type="pct"/>
            <w:tcBorders>
              <w:top w:val="nil"/>
              <w:left w:val="nil"/>
              <w:bottom w:val="single" w:sz="4" w:space="0" w:color="auto"/>
              <w:right w:val="single" w:sz="4" w:space="0" w:color="auto"/>
            </w:tcBorders>
            <w:noWrap/>
            <w:vAlign w:val="bottom"/>
            <w:hideMark/>
          </w:tcPr>
          <w:p w14:paraId="139044B7"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Phase-7</w:t>
            </w:r>
          </w:p>
        </w:tc>
        <w:tc>
          <w:tcPr>
            <w:tcW w:w="1984" w:type="pct"/>
            <w:tcBorders>
              <w:top w:val="nil"/>
              <w:left w:val="nil"/>
              <w:bottom w:val="single" w:sz="4" w:space="0" w:color="auto"/>
              <w:right w:val="single" w:sz="4" w:space="0" w:color="auto"/>
            </w:tcBorders>
            <w:noWrap/>
            <w:vAlign w:val="bottom"/>
            <w:hideMark/>
          </w:tcPr>
          <w:p w14:paraId="20A8DEF9"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125900</w:t>
            </w:r>
          </w:p>
        </w:tc>
      </w:tr>
      <w:tr w:rsidR="008F5CEC" w:rsidRPr="00AE5F42" w14:paraId="76EC97F5" w14:textId="77777777" w:rsidTr="008F5CEC">
        <w:trPr>
          <w:trHeight w:val="53"/>
          <w:jc w:val="center"/>
        </w:trPr>
        <w:tc>
          <w:tcPr>
            <w:tcW w:w="3016" w:type="pct"/>
            <w:gridSpan w:val="2"/>
            <w:tcBorders>
              <w:top w:val="single" w:sz="4" w:space="0" w:color="auto"/>
              <w:left w:val="single" w:sz="4" w:space="0" w:color="auto"/>
              <w:bottom w:val="single" w:sz="4" w:space="0" w:color="auto"/>
              <w:right w:val="single" w:sz="4" w:space="0" w:color="auto"/>
            </w:tcBorders>
            <w:noWrap/>
            <w:vAlign w:val="bottom"/>
          </w:tcPr>
          <w:p w14:paraId="5E18A72A"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Total Area</w:t>
            </w:r>
          </w:p>
        </w:tc>
        <w:tc>
          <w:tcPr>
            <w:tcW w:w="1984" w:type="pct"/>
            <w:tcBorders>
              <w:top w:val="single" w:sz="4" w:space="0" w:color="auto"/>
              <w:left w:val="nil"/>
              <w:bottom w:val="single" w:sz="4" w:space="0" w:color="auto"/>
              <w:right w:val="single" w:sz="4" w:space="0" w:color="auto"/>
            </w:tcBorders>
            <w:noWrap/>
            <w:vAlign w:val="bottom"/>
          </w:tcPr>
          <w:p w14:paraId="72D1D530" w14:textId="77777777" w:rsidR="008F5CEC" w:rsidRPr="00AE5F42" w:rsidRDefault="008F5CEC" w:rsidP="00CC46F9">
            <w:pPr>
              <w:spacing w:after="0" w:line="240" w:lineRule="auto"/>
              <w:jc w:val="center"/>
              <w:rPr>
                <w:rFonts w:ascii="Garamond" w:eastAsia="Times New Roman" w:hAnsi="Garamond" w:cs="Calibri"/>
                <w:color w:val="000000"/>
                <w:sz w:val="24"/>
                <w:szCs w:val="24"/>
              </w:rPr>
            </w:pPr>
            <w:r w:rsidRPr="00AE5F42">
              <w:rPr>
                <w:rFonts w:ascii="Garamond" w:eastAsia="Times New Roman" w:hAnsi="Garamond" w:cs="Calibri"/>
                <w:color w:val="000000"/>
                <w:sz w:val="24"/>
                <w:szCs w:val="24"/>
              </w:rPr>
              <w:t>174928.3</w:t>
            </w:r>
          </w:p>
        </w:tc>
      </w:tr>
    </w:tbl>
    <w:p w14:paraId="0C44ED66" w14:textId="71029B4B" w:rsidR="008F5CEC" w:rsidRPr="008F5CEC" w:rsidRDefault="008F5CEC" w:rsidP="008F5CEC">
      <w:pPr>
        <w:spacing w:after="0" w:line="240" w:lineRule="auto"/>
        <w:jc w:val="center"/>
        <w:rPr>
          <w:rFonts w:ascii="Garamond" w:hAnsi="Garamond"/>
          <w:color w:val="000000" w:themeColor="text1"/>
          <w:sz w:val="24"/>
          <w:szCs w:val="24"/>
        </w:rPr>
      </w:pPr>
      <w:r w:rsidRPr="00AE5F42">
        <w:rPr>
          <w:rFonts w:ascii="Garamond" w:hAnsi="Garamond" w:cs="Times New Roman"/>
          <w:b/>
          <w:bCs/>
          <w:noProof/>
          <w:sz w:val="24"/>
          <w:szCs w:val="24"/>
        </w:rPr>
        <w:drawing>
          <wp:inline distT="0" distB="0" distL="0" distR="0" wp14:anchorId="0C0C906C" wp14:editId="5D83C300">
            <wp:extent cx="3173104" cy="2303365"/>
            <wp:effectExtent l="0" t="0" r="8255" b="1905"/>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3196419" cy="2320290"/>
                    </a:xfrm>
                    <a:prstGeom prst="rect">
                      <a:avLst/>
                    </a:prstGeom>
                  </pic:spPr>
                </pic:pic>
              </a:graphicData>
            </a:graphic>
          </wp:inline>
        </w:drawing>
      </w:r>
    </w:p>
    <w:p w14:paraId="5F129F1F" w14:textId="0FBFE1B2" w:rsidR="0083501F" w:rsidRPr="008F5CEC" w:rsidRDefault="0083501F" w:rsidP="008F5CEC">
      <w:pPr>
        <w:pStyle w:val="Caption"/>
        <w:spacing w:after="0"/>
        <w:jc w:val="center"/>
        <w:rPr>
          <w:rFonts w:ascii="Garamond" w:hAnsi="Garamond"/>
          <w:b w:val="0"/>
          <w:bCs w:val="0"/>
          <w:i/>
          <w:iCs/>
          <w:color w:val="000000" w:themeColor="text1"/>
          <w:sz w:val="24"/>
          <w:szCs w:val="24"/>
        </w:rPr>
      </w:pPr>
      <w:r w:rsidRPr="00AE5F42">
        <w:rPr>
          <w:rFonts w:ascii="Garamond" w:hAnsi="Garamond"/>
          <w:color w:val="000000" w:themeColor="text1"/>
          <w:sz w:val="24"/>
          <w:szCs w:val="24"/>
        </w:rPr>
        <w:t>Figure</w:t>
      </w:r>
      <w:r>
        <w:rPr>
          <w:rFonts w:ascii="Garamond" w:hAnsi="Garamond"/>
          <w:b w:val="0"/>
          <w:bCs w:val="0"/>
          <w:i/>
          <w:iCs/>
          <w:color w:val="000000" w:themeColor="text1"/>
          <w:sz w:val="24"/>
          <w:szCs w:val="24"/>
        </w:rPr>
        <w:t xml:space="preserve"> </w:t>
      </w:r>
      <w:r w:rsidRPr="00AE5F42">
        <w:rPr>
          <w:rFonts w:ascii="Garamond" w:hAnsi="Garamond"/>
          <w:color w:val="000000" w:themeColor="text1"/>
          <w:sz w:val="24"/>
          <w:szCs w:val="24"/>
        </w:rPr>
        <w:t>3</w:t>
      </w:r>
      <w:r w:rsidR="008F5CEC">
        <w:rPr>
          <w:rFonts w:ascii="Garamond" w:hAnsi="Garamond"/>
          <w:color w:val="000000" w:themeColor="text1"/>
          <w:sz w:val="24"/>
          <w:szCs w:val="24"/>
        </w:rPr>
        <w:t>.</w:t>
      </w:r>
      <w:r w:rsidRPr="00AE5F42">
        <w:rPr>
          <w:rFonts w:ascii="Garamond" w:hAnsi="Garamond"/>
          <w:color w:val="000000" w:themeColor="text1"/>
          <w:sz w:val="24"/>
          <w:szCs w:val="24"/>
        </w:rPr>
        <w:t xml:space="preserve"> </w:t>
      </w:r>
      <w:r w:rsidRPr="008F5CEC">
        <w:rPr>
          <w:rFonts w:ascii="Garamond" w:hAnsi="Garamond"/>
          <w:b w:val="0"/>
          <w:bCs w:val="0"/>
          <w:color w:val="000000" w:themeColor="text1"/>
          <w:sz w:val="24"/>
          <w:szCs w:val="24"/>
        </w:rPr>
        <w:t>Spatial distribution of mosques as potential pumping stations within a 450-meter buffer around green belts.</w:t>
      </w:r>
    </w:p>
    <w:p w14:paraId="686F48B1" w14:textId="77777777" w:rsidR="0083501F" w:rsidRPr="00AE5F42" w:rsidRDefault="0083501F" w:rsidP="008F5CEC">
      <w:pPr>
        <w:spacing w:after="0" w:line="240" w:lineRule="auto"/>
        <w:jc w:val="both"/>
        <w:rPr>
          <w:rFonts w:ascii="Garamond" w:hAnsi="Garamond"/>
          <w:sz w:val="24"/>
          <w:szCs w:val="24"/>
        </w:rPr>
      </w:pPr>
      <w:r w:rsidRPr="00AE5F42">
        <w:rPr>
          <w:rFonts w:ascii="Garamond" w:hAnsi="Garamond"/>
          <w:b/>
          <w:bCs/>
          <w:sz w:val="24"/>
          <w:szCs w:val="24"/>
        </w:rPr>
        <w:lastRenderedPageBreak/>
        <w:t>Pumping station (Tubewell) and green belts of Hayatabad</w:t>
      </w:r>
      <w:r>
        <w:rPr>
          <w:rFonts w:ascii="Garamond" w:hAnsi="Garamond"/>
          <w:b/>
          <w:bCs/>
          <w:sz w:val="24"/>
          <w:szCs w:val="24"/>
        </w:rPr>
        <w:t>:</w:t>
      </w:r>
    </w:p>
    <w:p w14:paraId="34970BAB" w14:textId="35ABAB42" w:rsidR="0083501F" w:rsidRDefault="0083501F" w:rsidP="008F5CEC">
      <w:pPr>
        <w:spacing w:after="0" w:line="240" w:lineRule="auto"/>
        <w:ind w:firstLine="720"/>
        <w:jc w:val="both"/>
        <w:rPr>
          <w:rFonts w:ascii="Garamond" w:hAnsi="Garamond"/>
          <w:sz w:val="24"/>
          <w:szCs w:val="24"/>
        </w:rPr>
      </w:pPr>
      <w:r w:rsidRPr="00AE5F42">
        <w:rPr>
          <w:rFonts w:ascii="Garamond" w:hAnsi="Garamond"/>
          <w:sz w:val="24"/>
          <w:szCs w:val="24"/>
        </w:rPr>
        <w:t>Figure 4 highlights the spatial distribution of green belts (marked in yellow) and the locations of two primary tube well pumping stations (marked in blue) within the urban layout of Hayatabad, Peshawar. The spatial analysis, as shown in Figure 5, indicates that the two main tubewell pumping stations currently irrigate green belts distributed across Phases 1 to 7 within an average service radius of 4 km. This centralized system depends on groundwater extraction and requires higher pumping energy due to the longer distances between tubewells and the green belts they supply. In contrast, spatial data from Figure 3 show</w:t>
      </w:r>
      <w:r>
        <w:rPr>
          <w:rFonts w:ascii="Garamond" w:hAnsi="Garamond"/>
          <w:sz w:val="24"/>
          <w:szCs w:val="24"/>
        </w:rPr>
        <w:t>s</w:t>
      </w:r>
      <w:r w:rsidRPr="00AE5F42">
        <w:rPr>
          <w:rFonts w:ascii="Garamond" w:hAnsi="Garamond"/>
          <w:sz w:val="24"/>
          <w:szCs w:val="24"/>
        </w:rPr>
        <w:t xml:space="preserve"> that most green belts</w:t>
      </w:r>
      <w:r>
        <w:rPr>
          <w:rFonts w:ascii="Garamond" w:hAnsi="Garamond"/>
          <w:sz w:val="24"/>
          <w:szCs w:val="24"/>
        </w:rPr>
        <w:t>,</w:t>
      </w:r>
      <w:r w:rsidRPr="00AE5F42">
        <w:rPr>
          <w:rFonts w:ascii="Garamond" w:hAnsi="Garamond"/>
          <w:sz w:val="24"/>
          <w:szCs w:val="24"/>
        </w:rPr>
        <w:t xml:space="preserve"> 40.16 acre</w:t>
      </w:r>
      <w:r>
        <w:rPr>
          <w:rFonts w:ascii="Garamond" w:hAnsi="Garamond"/>
          <w:sz w:val="24"/>
          <w:szCs w:val="24"/>
        </w:rPr>
        <w:t>s</w:t>
      </w:r>
      <w:r w:rsidRPr="00AE5F42">
        <w:rPr>
          <w:rFonts w:ascii="Garamond" w:hAnsi="Garamond"/>
          <w:sz w:val="24"/>
          <w:szCs w:val="24"/>
        </w:rPr>
        <w:t xml:space="preserve"> or 1749283.3ft2</w:t>
      </w:r>
      <w:r>
        <w:rPr>
          <w:rFonts w:ascii="Garamond" w:hAnsi="Garamond"/>
          <w:sz w:val="24"/>
          <w:szCs w:val="24"/>
        </w:rPr>
        <w:t>,</w:t>
      </w:r>
      <w:r w:rsidRPr="00AE5F42">
        <w:rPr>
          <w:rFonts w:ascii="Garamond" w:hAnsi="Garamond"/>
          <w:sz w:val="24"/>
          <w:szCs w:val="24"/>
        </w:rPr>
        <w:t xml:space="preserve"> are located within a 450-meter radius of mosques. This shorter distance significantly reduces the required pumping head and daily energy consumption. </w:t>
      </w:r>
    </w:p>
    <w:p w14:paraId="491D68BE" w14:textId="0848262E" w:rsidR="008F5CEC" w:rsidRPr="00AE5F42" w:rsidRDefault="008F5CEC" w:rsidP="008F5CEC">
      <w:pPr>
        <w:spacing w:after="0" w:line="240" w:lineRule="auto"/>
        <w:jc w:val="center"/>
        <w:rPr>
          <w:rFonts w:ascii="Garamond" w:hAnsi="Garamond"/>
          <w:sz w:val="24"/>
          <w:szCs w:val="24"/>
        </w:rPr>
      </w:pPr>
      <w:r w:rsidRPr="00AE5F42">
        <w:rPr>
          <w:rFonts w:ascii="Garamond" w:hAnsi="Garamond"/>
          <w:noProof/>
          <w:sz w:val="24"/>
          <w:szCs w:val="24"/>
        </w:rPr>
        <w:drawing>
          <wp:inline distT="0" distB="0" distL="0" distR="0" wp14:anchorId="52ED6E6E" wp14:editId="3D789CAE">
            <wp:extent cx="2082355" cy="1439838"/>
            <wp:effectExtent l="0" t="0" r="0" b="8255"/>
            <wp:docPr id="36181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stretch>
                      <a:fillRect/>
                    </a:stretch>
                  </pic:blipFill>
                  <pic:spPr>
                    <a:xfrm flipV="1">
                      <a:off x="0" y="0"/>
                      <a:ext cx="2133013" cy="1474865"/>
                    </a:xfrm>
                    <a:prstGeom prst="rect">
                      <a:avLst/>
                    </a:prstGeom>
                  </pic:spPr>
                </pic:pic>
              </a:graphicData>
            </a:graphic>
          </wp:inline>
        </w:drawing>
      </w:r>
    </w:p>
    <w:p w14:paraId="7BF5FD1F" w14:textId="26FC8D7E" w:rsidR="00CD5A3F" w:rsidRDefault="0083501F" w:rsidP="00CD5A3F">
      <w:pPr>
        <w:pStyle w:val="Caption"/>
        <w:spacing w:after="0"/>
        <w:jc w:val="center"/>
        <w:rPr>
          <w:rFonts w:ascii="Garamond" w:hAnsi="Garamond"/>
          <w:b w:val="0"/>
          <w:bCs w:val="0"/>
          <w:color w:val="000000" w:themeColor="text1"/>
          <w:sz w:val="24"/>
          <w:szCs w:val="24"/>
        </w:rPr>
      </w:pPr>
      <w:r w:rsidRPr="00AE5F42">
        <w:rPr>
          <w:rFonts w:ascii="Garamond" w:hAnsi="Garamond"/>
          <w:color w:val="000000" w:themeColor="text1"/>
          <w:sz w:val="24"/>
          <w:szCs w:val="24"/>
        </w:rPr>
        <w:t>Figure</w:t>
      </w:r>
      <w:r>
        <w:rPr>
          <w:rFonts w:ascii="Garamond" w:hAnsi="Garamond"/>
          <w:b w:val="0"/>
          <w:bCs w:val="0"/>
          <w:i/>
          <w:iCs/>
          <w:color w:val="000000" w:themeColor="text1"/>
          <w:sz w:val="24"/>
          <w:szCs w:val="24"/>
        </w:rPr>
        <w:t xml:space="preserve"> </w:t>
      </w:r>
      <w:r w:rsidRPr="00AE5F42">
        <w:rPr>
          <w:rFonts w:ascii="Garamond" w:hAnsi="Garamond"/>
          <w:color w:val="000000" w:themeColor="text1"/>
          <w:sz w:val="24"/>
          <w:szCs w:val="24"/>
        </w:rPr>
        <w:t>4</w:t>
      </w:r>
      <w:r w:rsidR="008F5CEC">
        <w:rPr>
          <w:rFonts w:ascii="Garamond" w:hAnsi="Garamond"/>
          <w:color w:val="000000" w:themeColor="text1"/>
          <w:sz w:val="24"/>
          <w:szCs w:val="24"/>
        </w:rPr>
        <w:t>.</w:t>
      </w:r>
      <w:r w:rsidRPr="00AE5F42">
        <w:rPr>
          <w:rFonts w:ascii="Garamond" w:hAnsi="Garamond"/>
          <w:color w:val="000000" w:themeColor="text1"/>
          <w:sz w:val="24"/>
          <w:szCs w:val="24"/>
        </w:rPr>
        <w:t xml:space="preserve"> </w:t>
      </w:r>
      <w:r w:rsidRPr="008F5CEC">
        <w:rPr>
          <w:rFonts w:ascii="Garamond" w:hAnsi="Garamond"/>
          <w:b w:val="0"/>
          <w:bCs w:val="0"/>
          <w:color w:val="000000" w:themeColor="text1"/>
          <w:sz w:val="24"/>
          <w:szCs w:val="24"/>
        </w:rPr>
        <w:t>Location of existing tubewells and their service areas relative to urban green belts.</w:t>
      </w:r>
    </w:p>
    <w:p w14:paraId="6B89A278" w14:textId="1A2ABD13" w:rsidR="00CD5A3F" w:rsidRPr="00CD5A3F" w:rsidRDefault="00CD5A3F" w:rsidP="00F6788A">
      <w:pPr>
        <w:spacing w:after="0"/>
        <w:jc w:val="center"/>
      </w:pPr>
      <w:r w:rsidRPr="00AE5F42">
        <w:rPr>
          <w:rFonts w:ascii="Garamond" w:hAnsi="Garamond" w:cs="Times New Roman"/>
          <w:b/>
          <w:bCs/>
          <w:noProof/>
          <w:sz w:val="24"/>
          <w:szCs w:val="24"/>
        </w:rPr>
        <w:drawing>
          <wp:inline distT="0" distB="0" distL="0" distR="0" wp14:anchorId="74A42F88" wp14:editId="2CA2CB64">
            <wp:extent cx="1708364" cy="1446663"/>
            <wp:effectExtent l="0" t="0" r="6350" b="127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2"/>
                    <a:srcRect l="3333" t="2095" r="2207" b="1586"/>
                    <a:stretch>
                      <a:fillRect/>
                    </a:stretch>
                  </pic:blipFill>
                  <pic:spPr bwMode="auto">
                    <a:xfrm>
                      <a:off x="0" y="0"/>
                      <a:ext cx="1758679" cy="1489271"/>
                    </a:xfrm>
                    <a:prstGeom prst="rect">
                      <a:avLst/>
                    </a:prstGeom>
                    <a:ln>
                      <a:noFill/>
                    </a:ln>
                    <a:extLst>
                      <a:ext uri="{53640926-AAD7-44D8-BBD7-CCE9431645EC}">
                        <a14:shadowObscured xmlns:a14="http://schemas.microsoft.com/office/drawing/2010/main"/>
                      </a:ext>
                    </a:extLst>
                  </pic:spPr>
                </pic:pic>
              </a:graphicData>
            </a:graphic>
          </wp:inline>
        </w:drawing>
      </w:r>
    </w:p>
    <w:p w14:paraId="2BBA3ED8" w14:textId="5DE0D063" w:rsidR="0083501F" w:rsidRPr="00AE5F42" w:rsidRDefault="0083501F" w:rsidP="00CD5A3F">
      <w:pPr>
        <w:pStyle w:val="Caption"/>
        <w:spacing w:after="0"/>
        <w:jc w:val="center"/>
        <w:rPr>
          <w:rFonts w:ascii="Garamond" w:hAnsi="Garamond"/>
          <w:b w:val="0"/>
          <w:bCs w:val="0"/>
          <w:i/>
          <w:iCs/>
          <w:color w:val="000000" w:themeColor="text1"/>
          <w:sz w:val="24"/>
          <w:szCs w:val="24"/>
        </w:rPr>
      </w:pPr>
      <w:r w:rsidRPr="00AE5F42">
        <w:rPr>
          <w:rFonts w:ascii="Garamond" w:hAnsi="Garamond"/>
          <w:color w:val="000000" w:themeColor="text1"/>
          <w:sz w:val="24"/>
          <w:szCs w:val="24"/>
        </w:rPr>
        <w:t>Figure</w:t>
      </w:r>
      <w:r>
        <w:rPr>
          <w:rFonts w:ascii="Garamond" w:hAnsi="Garamond"/>
          <w:b w:val="0"/>
          <w:bCs w:val="0"/>
          <w:i/>
          <w:iCs/>
          <w:color w:val="000000" w:themeColor="text1"/>
          <w:sz w:val="24"/>
          <w:szCs w:val="24"/>
        </w:rPr>
        <w:t xml:space="preserve"> </w:t>
      </w:r>
      <w:r w:rsidRPr="00AE5F42">
        <w:rPr>
          <w:rFonts w:ascii="Garamond" w:hAnsi="Garamond"/>
          <w:color w:val="000000" w:themeColor="text1"/>
          <w:sz w:val="24"/>
          <w:szCs w:val="24"/>
        </w:rPr>
        <w:t>5</w:t>
      </w:r>
      <w:r w:rsidR="00CD5A3F">
        <w:rPr>
          <w:rFonts w:ascii="Garamond" w:hAnsi="Garamond"/>
          <w:color w:val="000000" w:themeColor="text1"/>
          <w:sz w:val="24"/>
          <w:szCs w:val="24"/>
        </w:rPr>
        <w:t>.</w:t>
      </w:r>
      <w:r w:rsidRPr="00AE5F42">
        <w:rPr>
          <w:rFonts w:ascii="Garamond" w:hAnsi="Garamond"/>
          <w:color w:val="000000" w:themeColor="text1"/>
          <w:sz w:val="24"/>
          <w:szCs w:val="24"/>
        </w:rPr>
        <w:t xml:space="preserve"> </w:t>
      </w:r>
      <w:r w:rsidRPr="00CD5A3F">
        <w:rPr>
          <w:rFonts w:ascii="Garamond" w:hAnsi="Garamond"/>
          <w:b w:val="0"/>
          <w:bCs w:val="0"/>
          <w:color w:val="000000" w:themeColor="text1"/>
          <w:sz w:val="24"/>
          <w:szCs w:val="24"/>
        </w:rPr>
        <w:t>Current irrigation practice in Hayatabad</w:t>
      </w:r>
    </w:p>
    <w:p w14:paraId="44DA10C6" w14:textId="77777777" w:rsidR="0083501F" w:rsidRPr="00AE5F42" w:rsidRDefault="0083501F" w:rsidP="00F6788A">
      <w:pPr>
        <w:spacing w:after="0" w:line="240" w:lineRule="auto"/>
        <w:jc w:val="both"/>
        <w:rPr>
          <w:rFonts w:ascii="Garamond" w:hAnsi="Garamond"/>
          <w:b/>
          <w:bCs/>
          <w:sz w:val="24"/>
          <w:szCs w:val="24"/>
        </w:rPr>
      </w:pPr>
      <w:r w:rsidRPr="00AE5F42">
        <w:rPr>
          <w:rFonts w:ascii="Garamond" w:hAnsi="Garamond"/>
          <w:b/>
          <w:bCs/>
          <w:sz w:val="24"/>
          <w:szCs w:val="24"/>
        </w:rPr>
        <w:t xml:space="preserve">Difference </w:t>
      </w:r>
      <w:r>
        <w:rPr>
          <w:rFonts w:ascii="Garamond" w:hAnsi="Garamond"/>
          <w:b/>
          <w:bCs/>
          <w:sz w:val="24"/>
          <w:szCs w:val="24"/>
        </w:rPr>
        <w:t>in</w:t>
      </w:r>
      <w:r w:rsidRPr="00AE5F42">
        <w:rPr>
          <w:rFonts w:ascii="Garamond" w:hAnsi="Garamond"/>
          <w:b/>
          <w:bCs/>
          <w:sz w:val="24"/>
          <w:szCs w:val="24"/>
        </w:rPr>
        <w:t xml:space="preserve"> Average </w:t>
      </w:r>
      <w:r>
        <w:rPr>
          <w:rFonts w:ascii="Garamond" w:hAnsi="Garamond"/>
          <w:b/>
          <w:bCs/>
          <w:sz w:val="24"/>
          <w:szCs w:val="24"/>
        </w:rPr>
        <w:t>W</w:t>
      </w:r>
      <w:r w:rsidRPr="00AE5F42">
        <w:rPr>
          <w:rFonts w:ascii="Garamond" w:hAnsi="Garamond"/>
          <w:b/>
          <w:bCs/>
          <w:sz w:val="24"/>
          <w:szCs w:val="24"/>
        </w:rPr>
        <w:t>ater Consumption</w:t>
      </w:r>
      <w:r>
        <w:rPr>
          <w:rFonts w:ascii="Garamond" w:hAnsi="Garamond"/>
          <w:b/>
          <w:bCs/>
          <w:sz w:val="24"/>
          <w:szCs w:val="24"/>
        </w:rPr>
        <w:t>:</w:t>
      </w:r>
    </w:p>
    <w:p w14:paraId="7CC244FB" w14:textId="77777777" w:rsidR="0083501F" w:rsidRPr="00AE5F42" w:rsidRDefault="0083501F" w:rsidP="00F6788A">
      <w:pPr>
        <w:spacing w:after="0" w:line="240" w:lineRule="auto"/>
        <w:ind w:firstLine="720"/>
        <w:jc w:val="both"/>
        <w:rPr>
          <w:rFonts w:ascii="Garamond" w:hAnsi="Garamond"/>
          <w:sz w:val="24"/>
          <w:szCs w:val="24"/>
        </w:rPr>
      </w:pPr>
      <w:r w:rsidRPr="00AE5F42">
        <w:rPr>
          <w:rFonts w:ascii="Garamond" w:hAnsi="Garamond"/>
          <w:sz w:val="24"/>
          <w:szCs w:val="24"/>
        </w:rPr>
        <w:t>The study came up with the result that an estimated 105,000 liters of water per day w</w:t>
      </w:r>
      <w:r>
        <w:rPr>
          <w:rFonts w:ascii="Garamond" w:hAnsi="Garamond"/>
          <w:sz w:val="24"/>
          <w:szCs w:val="24"/>
        </w:rPr>
        <w:t>ere</w:t>
      </w:r>
      <w:r w:rsidRPr="00AE5F42">
        <w:rPr>
          <w:rFonts w:ascii="Garamond" w:hAnsi="Garamond"/>
          <w:sz w:val="24"/>
          <w:szCs w:val="24"/>
        </w:rPr>
        <w:t xml:space="preserve"> consumed in the process of irrigating the green belts around 40 acres in Hayatabad. Seven specially designed tankers, all with a capacity of 5,000 liters</w:t>
      </w:r>
      <w:r>
        <w:rPr>
          <w:rFonts w:ascii="Garamond" w:hAnsi="Garamond"/>
          <w:sz w:val="24"/>
          <w:szCs w:val="24"/>
        </w:rPr>
        <w:t>,</w:t>
      </w:r>
      <w:r w:rsidRPr="00AE5F42">
        <w:rPr>
          <w:rFonts w:ascii="Garamond" w:hAnsi="Garamond"/>
          <w:sz w:val="24"/>
          <w:szCs w:val="24"/>
        </w:rPr>
        <w:t xml:space="preserve"> made 3 trips a day</w:t>
      </w:r>
      <w:r>
        <w:rPr>
          <w:rFonts w:ascii="Garamond" w:hAnsi="Garamond"/>
          <w:sz w:val="24"/>
          <w:szCs w:val="24"/>
        </w:rPr>
        <w:t>,</w:t>
      </w:r>
      <w:r w:rsidRPr="00AE5F42">
        <w:rPr>
          <w:rFonts w:ascii="Garamond" w:hAnsi="Garamond"/>
          <w:sz w:val="24"/>
          <w:szCs w:val="24"/>
        </w:rPr>
        <w:t xml:space="preserve"> supplying this volume. The mean of the number of liters of ablution water produced daily per mosque was approximately calculated at 1,000 liters in each mosque, with a standard deviation of 120 liters or less, signifying variation in the size of mosques and congregation</w:t>
      </w:r>
      <w:r>
        <w:rPr>
          <w:rFonts w:ascii="Garamond" w:hAnsi="Garamond"/>
          <w:sz w:val="24"/>
          <w:szCs w:val="24"/>
        </w:rPr>
        <w:t>s</w:t>
      </w:r>
      <w:r w:rsidRPr="00AE5F42">
        <w:rPr>
          <w:rFonts w:ascii="Garamond" w:hAnsi="Garamond"/>
          <w:sz w:val="24"/>
          <w:szCs w:val="24"/>
        </w:rPr>
        <w:t>. All the 62 mosques in the study area produced a volume of grey water per day of approximately 62,000 liters with a general margin of error of approximately 7 percent. These numbers illustrate the fact that though the supply of ablution water varied, the total amount that was made available showed a significant potential to meet or partially satisfy the daily irrigation requirement of lush green belts by the township.</w:t>
      </w:r>
    </w:p>
    <w:p w14:paraId="43DD5535" w14:textId="77777777" w:rsidR="0083501F" w:rsidRPr="00AE5F42" w:rsidRDefault="0083501F" w:rsidP="00F6788A">
      <w:pPr>
        <w:spacing w:after="0" w:line="240" w:lineRule="auto"/>
        <w:jc w:val="both"/>
        <w:rPr>
          <w:rFonts w:ascii="Garamond" w:hAnsi="Garamond"/>
          <w:b/>
          <w:bCs/>
          <w:sz w:val="24"/>
          <w:szCs w:val="24"/>
        </w:rPr>
      </w:pPr>
      <w:r w:rsidRPr="00AE5F42">
        <w:rPr>
          <w:rFonts w:ascii="Garamond" w:hAnsi="Garamond"/>
          <w:b/>
          <w:bCs/>
          <w:sz w:val="24"/>
          <w:szCs w:val="24"/>
        </w:rPr>
        <w:lastRenderedPageBreak/>
        <w:t xml:space="preserve">Comparison of irrigating </w:t>
      </w:r>
      <w:r>
        <w:rPr>
          <w:rFonts w:ascii="Garamond" w:hAnsi="Garamond"/>
          <w:b/>
          <w:bCs/>
          <w:sz w:val="24"/>
          <w:szCs w:val="24"/>
        </w:rPr>
        <w:t xml:space="preserve">the </w:t>
      </w:r>
      <w:r w:rsidRPr="00AE5F42">
        <w:rPr>
          <w:rFonts w:ascii="Garamond" w:hAnsi="Garamond"/>
          <w:b/>
          <w:bCs/>
          <w:sz w:val="24"/>
          <w:szCs w:val="24"/>
        </w:rPr>
        <w:t xml:space="preserve">green belt from </w:t>
      </w:r>
      <w:r>
        <w:rPr>
          <w:rFonts w:ascii="Garamond" w:hAnsi="Garamond"/>
          <w:b/>
          <w:bCs/>
          <w:sz w:val="24"/>
          <w:szCs w:val="24"/>
        </w:rPr>
        <w:t xml:space="preserve">the </w:t>
      </w:r>
      <w:r w:rsidRPr="00AE5F42">
        <w:rPr>
          <w:rFonts w:ascii="Garamond" w:hAnsi="Garamond"/>
          <w:b/>
          <w:bCs/>
          <w:sz w:val="24"/>
          <w:szCs w:val="24"/>
        </w:rPr>
        <w:t>Pumping station (tubewell) and Masjid’s Ablution water</w:t>
      </w:r>
      <w:r>
        <w:rPr>
          <w:rFonts w:ascii="Garamond" w:hAnsi="Garamond"/>
          <w:b/>
          <w:bCs/>
          <w:sz w:val="24"/>
          <w:szCs w:val="24"/>
        </w:rPr>
        <w:t>:</w:t>
      </w:r>
    </w:p>
    <w:p w14:paraId="1D1AAE32" w14:textId="77777777" w:rsidR="0083501F" w:rsidRPr="00AE5F42" w:rsidRDefault="0083501F" w:rsidP="00F6788A">
      <w:pPr>
        <w:spacing w:after="0" w:line="240" w:lineRule="auto"/>
        <w:ind w:firstLine="720"/>
        <w:jc w:val="both"/>
        <w:rPr>
          <w:rFonts w:ascii="Garamond" w:hAnsi="Garamond"/>
          <w:sz w:val="24"/>
          <w:szCs w:val="24"/>
        </w:rPr>
      </w:pPr>
      <w:r w:rsidRPr="00AE5F42">
        <w:rPr>
          <w:rFonts w:ascii="Garamond" w:hAnsi="Garamond"/>
          <w:sz w:val="24"/>
          <w:szCs w:val="24"/>
        </w:rPr>
        <w:t>The comparison revealed that ablution water reuse offers a more energy-efficient, low-cost, and sustainable solution for landscape irrigation, particularly in urban areas like Hayatabad</w:t>
      </w:r>
      <w:r>
        <w:rPr>
          <w:rFonts w:ascii="Garamond" w:hAnsi="Garamond"/>
          <w:sz w:val="24"/>
          <w:szCs w:val="24"/>
        </w:rPr>
        <w:t>,</w:t>
      </w:r>
      <w:r w:rsidRPr="00AE5F42">
        <w:rPr>
          <w:rFonts w:ascii="Garamond" w:hAnsi="Garamond"/>
          <w:sz w:val="24"/>
          <w:szCs w:val="24"/>
        </w:rPr>
        <w:t xml:space="preserve"> where mosques and green belts are closely located. </w:t>
      </w:r>
    </w:p>
    <w:p w14:paraId="4E6EF8A8" w14:textId="33294D43" w:rsidR="0083501F" w:rsidRDefault="0083501F" w:rsidP="0080228A">
      <w:pPr>
        <w:spacing w:after="0" w:line="240" w:lineRule="auto"/>
        <w:ind w:firstLine="720"/>
        <w:jc w:val="both"/>
        <w:rPr>
          <w:rFonts w:ascii="Garamond" w:hAnsi="Garamond"/>
          <w:sz w:val="24"/>
          <w:szCs w:val="24"/>
        </w:rPr>
      </w:pPr>
      <w:r w:rsidRPr="00AE5F42">
        <w:rPr>
          <w:rFonts w:ascii="Garamond" w:hAnsi="Garamond"/>
          <w:sz w:val="24"/>
          <w:szCs w:val="24"/>
        </w:rPr>
        <w:t xml:space="preserve">Maximum travel distance from </w:t>
      </w:r>
      <w:r>
        <w:rPr>
          <w:rFonts w:ascii="Garamond" w:hAnsi="Garamond"/>
          <w:sz w:val="24"/>
          <w:szCs w:val="24"/>
        </w:rPr>
        <w:t xml:space="preserve">the </w:t>
      </w:r>
      <w:r w:rsidRPr="00AE5F42">
        <w:rPr>
          <w:rFonts w:ascii="Garamond" w:hAnsi="Garamond"/>
          <w:sz w:val="24"/>
          <w:szCs w:val="24"/>
        </w:rPr>
        <w:t>Tubewell to the farthest green belt was calculated to be 4km</w:t>
      </w:r>
      <w:r>
        <w:rPr>
          <w:rFonts w:ascii="Garamond" w:hAnsi="Garamond"/>
          <w:sz w:val="24"/>
          <w:szCs w:val="24"/>
        </w:rPr>
        <w:t>,</w:t>
      </w:r>
      <w:r w:rsidRPr="00AE5F42">
        <w:rPr>
          <w:rFonts w:ascii="Garamond" w:hAnsi="Garamond"/>
          <w:sz w:val="24"/>
          <w:szCs w:val="24"/>
        </w:rPr>
        <w:t xml:space="preserve"> and maximum travel distance from Masjid to </w:t>
      </w:r>
      <w:r>
        <w:rPr>
          <w:rFonts w:ascii="Garamond" w:hAnsi="Garamond"/>
          <w:sz w:val="24"/>
          <w:szCs w:val="24"/>
        </w:rPr>
        <w:t xml:space="preserve">the </w:t>
      </w:r>
      <w:r w:rsidRPr="00AE5F42">
        <w:rPr>
          <w:rFonts w:ascii="Garamond" w:hAnsi="Garamond"/>
          <w:sz w:val="24"/>
          <w:szCs w:val="24"/>
        </w:rPr>
        <w:t>nearby farthest green belt was calculated to be 450 m</w:t>
      </w:r>
      <w:r>
        <w:rPr>
          <w:rFonts w:ascii="Garamond" w:hAnsi="Garamond"/>
          <w:sz w:val="24"/>
          <w:szCs w:val="24"/>
        </w:rPr>
        <w:t>,</w:t>
      </w:r>
      <w:r w:rsidRPr="00AE5F42">
        <w:rPr>
          <w:rFonts w:ascii="Garamond" w:hAnsi="Garamond"/>
          <w:sz w:val="24"/>
          <w:szCs w:val="24"/>
        </w:rPr>
        <w:t xml:space="preserve"> thus covering all green belts from all masjids of Hayatabad as show</w:t>
      </w:r>
      <w:r>
        <w:rPr>
          <w:rFonts w:ascii="Garamond" w:hAnsi="Garamond"/>
          <w:sz w:val="24"/>
          <w:szCs w:val="24"/>
        </w:rPr>
        <w:t>n</w:t>
      </w:r>
      <w:r w:rsidRPr="00AE5F42">
        <w:rPr>
          <w:rFonts w:ascii="Garamond" w:hAnsi="Garamond"/>
          <w:sz w:val="24"/>
          <w:szCs w:val="24"/>
        </w:rPr>
        <w:t xml:space="preserve"> in Figure 6.</w:t>
      </w:r>
    </w:p>
    <w:p w14:paraId="7349AD7A" w14:textId="6C9115E8" w:rsidR="0080228A" w:rsidRPr="00AE5F42" w:rsidRDefault="0080228A" w:rsidP="0080228A">
      <w:pPr>
        <w:spacing w:after="0" w:line="240" w:lineRule="auto"/>
        <w:jc w:val="center"/>
        <w:rPr>
          <w:rFonts w:ascii="Garamond" w:hAnsi="Garamond"/>
          <w:sz w:val="24"/>
          <w:szCs w:val="24"/>
        </w:rPr>
      </w:pPr>
      <w:r w:rsidRPr="00AE5F42">
        <w:rPr>
          <w:rFonts w:ascii="Garamond" w:hAnsi="Garamond" w:cs="Times New Roman"/>
          <w:b/>
          <w:bCs/>
          <w:noProof/>
          <w:sz w:val="24"/>
          <w:szCs w:val="24"/>
        </w:rPr>
        <w:drawing>
          <wp:inline distT="0" distB="0" distL="0" distR="0" wp14:anchorId="15025766" wp14:editId="50147201">
            <wp:extent cx="3310561" cy="1985749"/>
            <wp:effectExtent l="0" t="0" r="4445"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3"/>
                    <a:stretch>
                      <a:fillRect/>
                    </a:stretch>
                  </pic:blipFill>
                  <pic:spPr>
                    <a:xfrm>
                      <a:off x="0" y="0"/>
                      <a:ext cx="3457258" cy="2073741"/>
                    </a:xfrm>
                    <a:prstGeom prst="rect">
                      <a:avLst/>
                    </a:prstGeom>
                  </pic:spPr>
                </pic:pic>
              </a:graphicData>
            </a:graphic>
          </wp:inline>
        </w:drawing>
      </w:r>
    </w:p>
    <w:p w14:paraId="12461DC0" w14:textId="747F863C" w:rsidR="0083501F" w:rsidRPr="0080228A" w:rsidRDefault="0083501F" w:rsidP="0080228A">
      <w:pPr>
        <w:pStyle w:val="Caption"/>
        <w:spacing w:after="0"/>
        <w:jc w:val="center"/>
        <w:rPr>
          <w:rFonts w:ascii="Garamond" w:hAnsi="Garamond"/>
          <w:b w:val="0"/>
          <w:bCs w:val="0"/>
          <w:color w:val="000000" w:themeColor="text1"/>
          <w:sz w:val="24"/>
          <w:szCs w:val="24"/>
        </w:rPr>
      </w:pPr>
      <w:r w:rsidRPr="00AE5F42">
        <w:rPr>
          <w:rFonts w:ascii="Garamond" w:hAnsi="Garamond"/>
          <w:color w:val="000000" w:themeColor="text1"/>
          <w:sz w:val="24"/>
          <w:szCs w:val="24"/>
        </w:rPr>
        <w:t>Figure</w:t>
      </w:r>
      <w:r>
        <w:rPr>
          <w:rFonts w:ascii="Garamond" w:hAnsi="Garamond"/>
          <w:b w:val="0"/>
          <w:bCs w:val="0"/>
          <w:i/>
          <w:iCs/>
          <w:color w:val="000000" w:themeColor="text1"/>
          <w:sz w:val="24"/>
          <w:szCs w:val="24"/>
        </w:rPr>
        <w:t xml:space="preserve"> </w:t>
      </w:r>
      <w:r w:rsidRPr="00AE5F42">
        <w:rPr>
          <w:rFonts w:ascii="Garamond" w:hAnsi="Garamond"/>
          <w:color w:val="000000" w:themeColor="text1"/>
          <w:sz w:val="24"/>
          <w:szCs w:val="24"/>
        </w:rPr>
        <w:t>6</w:t>
      </w:r>
      <w:r w:rsidR="0080228A">
        <w:rPr>
          <w:rFonts w:ascii="Garamond" w:hAnsi="Garamond"/>
          <w:color w:val="000000" w:themeColor="text1"/>
          <w:sz w:val="24"/>
          <w:szCs w:val="24"/>
        </w:rPr>
        <w:t>.</w:t>
      </w:r>
      <w:r w:rsidRPr="00AE5F42">
        <w:rPr>
          <w:rFonts w:ascii="Garamond" w:hAnsi="Garamond"/>
          <w:color w:val="000000" w:themeColor="text1"/>
          <w:sz w:val="24"/>
          <w:szCs w:val="24"/>
        </w:rPr>
        <w:t xml:space="preserve"> </w:t>
      </w:r>
      <w:r w:rsidRPr="0080228A">
        <w:rPr>
          <w:rFonts w:ascii="Garamond" w:hAnsi="Garamond"/>
          <w:b w:val="0"/>
          <w:bCs w:val="0"/>
          <w:color w:val="000000" w:themeColor="text1"/>
          <w:sz w:val="24"/>
          <w:szCs w:val="24"/>
        </w:rPr>
        <w:t>Buffer of Masjid and the pumping station</w:t>
      </w:r>
    </w:p>
    <w:p w14:paraId="26F004A0" w14:textId="77777777" w:rsidR="0083501F" w:rsidRPr="00AE5F42" w:rsidRDefault="0083501F" w:rsidP="0080228A">
      <w:pPr>
        <w:spacing w:after="0" w:line="240" w:lineRule="auto"/>
        <w:jc w:val="both"/>
        <w:rPr>
          <w:rFonts w:ascii="Garamond" w:hAnsi="Garamond"/>
          <w:b/>
          <w:bCs/>
          <w:sz w:val="24"/>
          <w:szCs w:val="24"/>
        </w:rPr>
      </w:pPr>
      <w:r w:rsidRPr="00AE5F42">
        <w:rPr>
          <w:rFonts w:ascii="Garamond" w:hAnsi="Garamond"/>
          <w:b/>
          <w:bCs/>
          <w:sz w:val="24"/>
          <w:szCs w:val="24"/>
        </w:rPr>
        <w:t>Cost Analysis</w:t>
      </w:r>
      <w:r>
        <w:rPr>
          <w:rFonts w:ascii="Garamond" w:hAnsi="Garamond"/>
          <w:b/>
          <w:bCs/>
          <w:sz w:val="24"/>
          <w:szCs w:val="24"/>
        </w:rPr>
        <w:t>:</w:t>
      </w:r>
    </w:p>
    <w:p w14:paraId="60EE389A" w14:textId="77777777" w:rsidR="0083501F" w:rsidRPr="00AE5F42" w:rsidRDefault="0083501F" w:rsidP="0080228A">
      <w:pPr>
        <w:spacing w:after="0" w:line="240" w:lineRule="auto"/>
        <w:ind w:firstLine="720"/>
        <w:jc w:val="both"/>
        <w:rPr>
          <w:rFonts w:ascii="Garamond" w:hAnsi="Garamond"/>
          <w:sz w:val="24"/>
          <w:szCs w:val="24"/>
        </w:rPr>
      </w:pPr>
      <w:r w:rsidRPr="00AE5F42">
        <w:rPr>
          <w:rFonts w:ascii="Garamond" w:hAnsi="Garamond"/>
          <w:sz w:val="24"/>
          <w:szCs w:val="24"/>
        </w:rPr>
        <w:t xml:space="preserve">As Figure 6 indicates, the comparative daily operational cost of </w:t>
      </w:r>
      <w:r>
        <w:rPr>
          <w:rFonts w:ascii="Garamond" w:hAnsi="Garamond"/>
          <w:sz w:val="24"/>
          <w:szCs w:val="24"/>
        </w:rPr>
        <w:t xml:space="preserve">a </w:t>
      </w:r>
      <w:r w:rsidRPr="00AE5F42">
        <w:rPr>
          <w:rFonts w:ascii="Garamond" w:hAnsi="Garamond"/>
          <w:sz w:val="24"/>
          <w:szCs w:val="24"/>
        </w:rPr>
        <w:t xml:space="preserve">conventional tubewell from a depth of 750ft based irrigation system and </w:t>
      </w:r>
      <w:r>
        <w:rPr>
          <w:rFonts w:ascii="Garamond" w:hAnsi="Garamond"/>
          <w:sz w:val="24"/>
          <w:szCs w:val="24"/>
        </w:rPr>
        <w:t xml:space="preserve">the </w:t>
      </w:r>
      <w:r w:rsidRPr="00AE5F42">
        <w:rPr>
          <w:rFonts w:ascii="Garamond" w:hAnsi="Garamond"/>
          <w:sz w:val="24"/>
          <w:szCs w:val="24"/>
        </w:rPr>
        <w:t>proposed reuse green belt irrigation system of ablution water in Hayatabad was evaluated. The estimation was based on an electricity tariff of PKR 52 per kWh</w:t>
      </w:r>
      <w:r>
        <w:rPr>
          <w:rFonts w:ascii="Garamond" w:hAnsi="Garamond"/>
          <w:sz w:val="24"/>
          <w:szCs w:val="24"/>
        </w:rPr>
        <w:t>,</w:t>
      </w:r>
      <w:r w:rsidRPr="00AE5F42">
        <w:rPr>
          <w:rFonts w:ascii="Garamond" w:hAnsi="Garamond"/>
          <w:sz w:val="24"/>
          <w:szCs w:val="24"/>
        </w:rPr>
        <w:t xml:space="preserve"> and 60</w:t>
      </w:r>
      <w:r w:rsidRPr="00AE5F42">
        <w:rPr>
          <w:rFonts w:ascii="Times New Roman" w:hAnsi="Times New Roman" w:cs="Times New Roman"/>
          <w:sz w:val="24"/>
          <w:szCs w:val="24"/>
        </w:rPr>
        <w:t> </w:t>
      </w:r>
      <w:r w:rsidRPr="00AE5F42">
        <w:rPr>
          <w:rFonts w:ascii="Garamond" w:hAnsi="Garamond"/>
          <w:sz w:val="24"/>
          <w:szCs w:val="24"/>
        </w:rPr>
        <w:t>HP (= 45</w:t>
      </w:r>
      <w:r w:rsidRPr="00AE5F42">
        <w:rPr>
          <w:rFonts w:ascii="Times New Roman" w:hAnsi="Times New Roman" w:cs="Times New Roman"/>
          <w:sz w:val="24"/>
          <w:szCs w:val="24"/>
        </w:rPr>
        <w:t> </w:t>
      </w:r>
      <w:r w:rsidRPr="00AE5F42">
        <w:rPr>
          <w:rFonts w:ascii="Garamond" w:hAnsi="Garamond"/>
          <w:sz w:val="24"/>
          <w:szCs w:val="24"/>
        </w:rPr>
        <w:t>kW) and 0.5</w:t>
      </w:r>
      <w:r w:rsidRPr="00AE5F42">
        <w:rPr>
          <w:rFonts w:ascii="Times New Roman" w:hAnsi="Times New Roman" w:cs="Times New Roman"/>
          <w:sz w:val="24"/>
          <w:szCs w:val="24"/>
        </w:rPr>
        <w:t> </w:t>
      </w:r>
      <w:r w:rsidRPr="00AE5F42">
        <w:rPr>
          <w:rFonts w:ascii="Garamond" w:hAnsi="Garamond"/>
          <w:sz w:val="24"/>
          <w:szCs w:val="24"/>
        </w:rPr>
        <w:t>HP (= 0.373</w:t>
      </w:r>
      <w:r w:rsidRPr="00AE5F42">
        <w:rPr>
          <w:rFonts w:ascii="Times New Roman" w:hAnsi="Times New Roman" w:cs="Times New Roman"/>
          <w:sz w:val="24"/>
          <w:szCs w:val="24"/>
        </w:rPr>
        <w:t> </w:t>
      </w:r>
      <w:r w:rsidRPr="00AE5F42">
        <w:rPr>
          <w:rFonts w:ascii="Garamond" w:hAnsi="Garamond"/>
          <w:sz w:val="24"/>
          <w:szCs w:val="24"/>
        </w:rPr>
        <w:t>kW) pumps were assumed in the tubewell system and the mosque-based reuse system</w:t>
      </w:r>
      <w:r>
        <w:rPr>
          <w:rFonts w:ascii="Garamond" w:hAnsi="Garamond"/>
          <w:sz w:val="24"/>
          <w:szCs w:val="24"/>
        </w:rPr>
        <w:t>,</w:t>
      </w:r>
      <w:r w:rsidRPr="00AE5F42">
        <w:rPr>
          <w:rFonts w:ascii="Garamond" w:hAnsi="Garamond"/>
          <w:sz w:val="24"/>
          <w:szCs w:val="24"/>
        </w:rPr>
        <w:t xml:space="preserve"> respectively. The transport price of the tubewell water to the green belts was identified to be the steepest at PKR 8000 per day on account of long pipeline terrains</w:t>
      </w:r>
      <w:r>
        <w:rPr>
          <w:rFonts w:ascii="Garamond" w:hAnsi="Garamond"/>
          <w:sz w:val="24"/>
          <w:szCs w:val="24"/>
        </w:rPr>
        <w:t>,</w:t>
      </w:r>
      <w:r w:rsidRPr="00AE5F42">
        <w:rPr>
          <w:rFonts w:ascii="Garamond" w:hAnsi="Garamond"/>
          <w:sz w:val="24"/>
          <w:szCs w:val="24"/>
        </w:rPr>
        <w:t xml:space="preserve"> </w:t>
      </w:r>
      <w:r>
        <w:rPr>
          <w:rFonts w:ascii="Garamond" w:hAnsi="Garamond"/>
          <w:sz w:val="24"/>
          <w:szCs w:val="24"/>
        </w:rPr>
        <w:t xml:space="preserve">an </w:t>
      </w:r>
      <w:r w:rsidRPr="00AE5F42">
        <w:rPr>
          <w:rFonts w:ascii="Garamond" w:hAnsi="Garamond"/>
          <w:sz w:val="24"/>
          <w:szCs w:val="24"/>
        </w:rPr>
        <w:t xml:space="preserve">average </w:t>
      </w:r>
      <w:r>
        <w:rPr>
          <w:rFonts w:ascii="Garamond" w:hAnsi="Garamond"/>
          <w:sz w:val="24"/>
          <w:szCs w:val="24"/>
        </w:rPr>
        <w:t>of</w:t>
      </w:r>
      <w:r w:rsidRPr="00AE5F42">
        <w:rPr>
          <w:rFonts w:ascii="Garamond" w:hAnsi="Garamond"/>
          <w:sz w:val="24"/>
          <w:szCs w:val="24"/>
        </w:rPr>
        <w:t xml:space="preserve"> 4 km. On the other hand, the ablution water transportation cost was relatively cheaper as compared to pumping higher water bill</w:t>
      </w:r>
      <w:r>
        <w:rPr>
          <w:rFonts w:ascii="Garamond" w:hAnsi="Garamond"/>
          <w:sz w:val="24"/>
          <w:szCs w:val="24"/>
        </w:rPr>
        <w:t>,</w:t>
      </w:r>
      <w:r w:rsidRPr="00AE5F42">
        <w:rPr>
          <w:rFonts w:ascii="Garamond" w:hAnsi="Garamond"/>
          <w:sz w:val="24"/>
          <w:szCs w:val="24"/>
        </w:rPr>
        <w:t xml:space="preserve"> as the green belts were within a range of 450 meters to the mosques, hence, shortening the pipeline length and the required pumps. The saving in time and energy was estimated to be as much as 13-fold in </w:t>
      </w:r>
      <w:r>
        <w:rPr>
          <w:rFonts w:ascii="Garamond" w:hAnsi="Garamond"/>
          <w:sz w:val="24"/>
          <w:szCs w:val="24"/>
        </w:rPr>
        <w:t>the cost</w:t>
      </w:r>
      <w:r w:rsidRPr="00AE5F42">
        <w:rPr>
          <w:rFonts w:ascii="Garamond" w:hAnsi="Garamond"/>
          <w:sz w:val="24"/>
          <w:szCs w:val="24"/>
        </w:rPr>
        <w:t xml:space="preserve"> of tubewell water as opposed to ablution water</w:t>
      </w:r>
      <w:r>
        <w:rPr>
          <w:rFonts w:ascii="Garamond" w:hAnsi="Garamond"/>
          <w:sz w:val="24"/>
          <w:szCs w:val="24"/>
        </w:rPr>
        <w:t>,</w:t>
      </w:r>
      <w:r w:rsidRPr="00AE5F42">
        <w:rPr>
          <w:rFonts w:ascii="Garamond" w:hAnsi="Garamond"/>
          <w:sz w:val="24"/>
          <w:szCs w:val="24"/>
        </w:rPr>
        <w:t xml:space="preserve"> whose cost was calculated to be </w:t>
      </w:r>
      <w:r>
        <w:rPr>
          <w:rFonts w:ascii="Garamond" w:hAnsi="Garamond"/>
          <w:sz w:val="24"/>
          <w:szCs w:val="24"/>
        </w:rPr>
        <w:t>much</w:t>
      </w:r>
      <w:r w:rsidRPr="00AE5F42">
        <w:rPr>
          <w:rFonts w:ascii="Garamond" w:hAnsi="Garamond"/>
          <w:sz w:val="24"/>
          <w:szCs w:val="24"/>
        </w:rPr>
        <w:t xml:space="preserve"> lower.</w:t>
      </w:r>
    </w:p>
    <w:p w14:paraId="2DFE5AEA" w14:textId="77777777" w:rsidR="0083501F" w:rsidRDefault="0083501F" w:rsidP="0080228A">
      <w:pPr>
        <w:spacing w:after="0" w:line="240" w:lineRule="auto"/>
        <w:ind w:firstLine="720"/>
        <w:jc w:val="both"/>
        <w:rPr>
          <w:rFonts w:ascii="Garamond" w:hAnsi="Garamond"/>
          <w:sz w:val="24"/>
          <w:szCs w:val="24"/>
        </w:rPr>
      </w:pPr>
      <w:r w:rsidRPr="00AE5F42">
        <w:rPr>
          <w:rFonts w:ascii="Garamond" w:hAnsi="Garamond"/>
          <w:sz w:val="24"/>
          <w:szCs w:val="24"/>
        </w:rPr>
        <w:t>Likewise, the cost of running electricity to draw water out of tubewells was on average PKR</w:t>
      </w:r>
      <w:r w:rsidRPr="00AE5F42">
        <w:rPr>
          <w:rFonts w:ascii="Times New Roman" w:hAnsi="Times New Roman" w:cs="Times New Roman"/>
          <w:sz w:val="24"/>
          <w:szCs w:val="24"/>
        </w:rPr>
        <w:t> </w:t>
      </w:r>
      <w:r w:rsidRPr="00AE5F42">
        <w:rPr>
          <w:rFonts w:ascii="Garamond" w:hAnsi="Garamond"/>
          <w:sz w:val="24"/>
          <w:szCs w:val="24"/>
        </w:rPr>
        <w:t>5,733 daily, which is attributed to a greater pumping head and greater pump capacity, whilst cost of running electricity to draw water out of ablution water was about PKR</w:t>
      </w:r>
      <w:r w:rsidRPr="00AE5F42">
        <w:rPr>
          <w:rFonts w:ascii="Times New Roman" w:hAnsi="Times New Roman" w:cs="Times New Roman"/>
          <w:sz w:val="24"/>
          <w:szCs w:val="24"/>
        </w:rPr>
        <w:t> </w:t>
      </w:r>
      <w:r w:rsidRPr="00AE5F42">
        <w:rPr>
          <w:rFonts w:ascii="Garamond" w:hAnsi="Garamond"/>
          <w:sz w:val="24"/>
          <w:szCs w:val="24"/>
        </w:rPr>
        <w:t xml:space="preserve">3,692 daily, which is </w:t>
      </w:r>
      <w:r>
        <w:rPr>
          <w:rFonts w:ascii="Garamond" w:hAnsi="Garamond"/>
          <w:sz w:val="24"/>
          <w:szCs w:val="24"/>
        </w:rPr>
        <w:t>because</w:t>
      </w:r>
      <w:r w:rsidRPr="00AE5F42">
        <w:rPr>
          <w:rFonts w:ascii="Garamond" w:hAnsi="Garamond"/>
          <w:sz w:val="24"/>
          <w:szCs w:val="24"/>
        </w:rPr>
        <w:t xml:space="preserve"> less energy is used since the storage tanks are shallower and the pumps are smaller and the distance that the water must travel is also shorter.</w:t>
      </w:r>
    </w:p>
    <w:p w14:paraId="74006B10" w14:textId="77777777" w:rsidR="0080228A" w:rsidRPr="00AE5F42" w:rsidRDefault="0080228A" w:rsidP="0080228A">
      <w:pPr>
        <w:spacing w:after="0" w:line="240" w:lineRule="auto"/>
        <w:jc w:val="both"/>
        <w:rPr>
          <w:rFonts w:ascii="Garamond" w:hAnsi="Garamond"/>
          <w:b/>
          <w:bCs/>
          <w:sz w:val="24"/>
          <w:szCs w:val="24"/>
        </w:rPr>
      </w:pPr>
      <w:r w:rsidRPr="00AE5F42">
        <w:rPr>
          <w:rFonts w:ascii="Garamond" w:hAnsi="Garamond"/>
          <w:b/>
          <w:bCs/>
          <w:sz w:val="24"/>
          <w:szCs w:val="24"/>
        </w:rPr>
        <w:t>Water quality testing of Ablution Water</w:t>
      </w:r>
      <w:r>
        <w:rPr>
          <w:rFonts w:ascii="Garamond" w:hAnsi="Garamond"/>
          <w:b/>
          <w:bCs/>
          <w:sz w:val="24"/>
          <w:szCs w:val="24"/>
        </w:rPr>
        <w:t>:</w:t>
      </w:r>
    </w:p>
    <w:p w14:paraId="11F29D3A" w14:textId="00EEC1A2" w:rsidR="0083501F" w:rsidRDefault="0080228A" w:rsidP="0080228A">
      <w:pPr>
        <w:spacing w:after="0" w:line="240" w:lineRule="auto"/>
        <w:ind w:firstLine="720"/>
        <w:jc w:val="both"/>
        <w:rPr>
          <w:rFonts w:ascii="Garamond" w:hAnsi="Garamond"/>
          <w:sz w:val="24"/>
          <w:szCs w:val="24"/>
        </w:rPr>
      </w:pPr>
      <w:r w:rsidRPr="00AE5F42">
        <w:rPr>
          <w:rFonts w:ascii="Garamond" w:hAnsi="Garamond"/>
          <w:sz w:val="24"/>
          <w:szCs w:val="24"/>
        </w:rPr>
        <w:t>To evaluate the potential of ablution water reuse for landscape irrigation, Biochemical Oxygen Demand (BOD</w:t>
      </w:r>
      <w:r w:rsidRPr="00AE5F42">
        <w:rPr>
          <w:rFonts w:ascii="Cambria Math" w:hAnsi="Cambria Math" w:cs="Cambria Math"/>
          <w:sz w:val="24"/>
          <w:szCs w:val="24"/>
        </w:rPr>
        <w:t>₅</w:t>
      </w:r>
      <w:r w:rsidRPr="00AE5F42">
        <w:rPr>
          <w:rFonts w:ascii="Garamond" w:hAnsi="Garamond"/>
          <w:sz w:val="24"/>
          <w:szCs w:val="24"/>
        </w:rPr>
        <w:t>) and Chemical Oxygen Demand (COD) tests were conducted on both fresh groundwater (used in tubewell systems) and ablution greywater collected from a selected mosque in Hayatabad. The results showed that fresh water had BOD levels of 3–3.6 mg/L and COD values of 8–10 mg/L, which is expected for clean groundwater sources. In comparison, ablution water exhibited BOD levels of 4.6-6 mg/L and COD values ranging from 10-12 mg/L</w:t>
      </w:r>
      <w:r>
        <w:rPr>
          <w:rFonts w:ascii="Garamond" w:hAnsi="Garamond"/>
          <w:sz w:val="24"/>
          <w:szCs w:val="24"/>
        </w:rPr>
        <w:t>,</w:t>
      </w:r>
      <w:r w:rsidRPr="00AE5F42">
        <w:rPr>
          <w:rFonts w:ascii="Garamond" w:hAnsi="Garamond"/>
          <w:sz w:val="24"/>
          <w:szCs w:val="24"/>
        </w:rPr>
        <w:t xml:space="preserve"> as shown in Table 3.</w:t>
      </w:r>
      <w:r w:rsidRPr="00AE5F42">
        <w:rPr>
          <w:rFonts w:ascii="Garamond" w:hAnsi="Garamond"/>
          <w:b/>
          <w:bCs/>
          <w:color w:val="000000" w:themeColor="text1"/>
          <w:kern w:val="24"/>
          <w:sz w:val="24"/>
          <w:szCs w:val="24"/>
        </w:rPr>
        <w:t xml:space="preserve"> </w:t>
      </w:r>
      <w:r w:rsidRPr="00AE5F42">
        <w:rPr>
          <w:rFonts w:ascii="Garamond" w:hAnsi="Garamond"/>
          <w:sz w:val="24"/>
          <w:szCs w:val="24"/>
        </w:rPr>
        <w:t>Both BOD and COD levels in the irrigation water samples were below the maximum allowable value of 10 mg/L and 90 mg/L.</w:t>
      </w:r>
    </w:p>
    <w:p w14:paraId="203B3801" w14:textId="77777777" w:rsidR="005D0C1D" w:rsidRPr="00AE5F42" w:rsidRDefault="005D0C1D" w:rsidP="005D0C1D">
      <w:pPr>
        <w:spacing w:after="0" w:line="240" w:lineRule="auto"/>
        <w:jc w:val="center"/>
        <w:rPr>
          <w:rFonts w:ascii="Garamond" w:hAnsi="Garamond"/>
          <w:sz w:val="24"/>
          <w:szCs w:val="24"/>
        </w:rPr>
      </w:pPr>
      <w:r>
        <w:rPr>
          <w:noProof/>
        </w:rPr>
        <w:drawing>
          <wp:inline distT="0" distB="0" distL="0" distR="0" wp14:anchorId="294EAF77" wp14:editId="3C31B67A">
            <wp:extent cx="2780397" cy="1596788"/>
            <wp:effectExtent l="0" t="0" r="1270" b="3810"/>
            <wp:docPr id="138551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11344" name=""/>
                    <pic:cNvPicPr/>
                  </pic:nvPicPr>
                  <pic:blipFill>
                    <a:blip r:embed="rId34"/>
                    <a:stretch>
                      <a:fillRect/>
                    </a:stretch>
                  </pic:blipFill>
                  <pic:spPr>
                    <a:xfrm>
                      <a:off x="0" y="0"/>
                      <a:ext cx="2913439" cy="1673194"/>
                    </a:xfrm>
                    <a:prstGeom prst="rect">
                      <a:avLst/>
                    </a:prstGeom>
                  </pic:spPr>
                </pic:pic>
              </a:graphicData>
            </a:graphic>
          </wp:inline>
        </w:drawing>
      </w:r>
    </w:p>
    <w:p w14:paraId="1AE0489F" w14:textId="77777777" w:rsidR="005D0C1D" w:rsidRDefault="005D0C1D" w:rsidP="005D0C1D">
      <w:pPr>
        <w:pStyle w:val="Caption"/>
        <w:spacing w:after="0"/>
        <w:jc w:val="center"/>
        <w:rPr>
          <w:rFonts w:ascii="Garamond" w:hAnsi="Garamond"/>
          <w:b w:val="0"/>
          <w:bCs w:val="0"/>
          <w:i/>
          <w:iCs/>
          <w:color w:val="000000" w:themeColor="text1"/>
          <w:sz w:val="24"/>
          <w:szCs w:val="24"/>
        </w:rPr>
      </w:pPr>
      <w:r w:rsidRPr="00AE5F42">
        <w:rPr>
          <w:rFonts w:ascii="Garamond" w:hAnsi="Garamond"/>
          <w:color w:val="000000" w:themeColor="text1"/>
          <w:sz w:val="24"/>
          <w:szCs w:val="24"/>
        </w:rPr>
        <w:t>Figur</w:t>
      </w:r>
      <w:r>
        <w:rPr>
          <w:rFonts w:ascii="Garamond" w:hAnsi="Garamond"/>
          <w:b w:val="0"/>
          <w:bCs w:val="0"/>
          <w:color w:val="000000" w:themeColor="text1"/>
          <w:sz w:val="24"/>
          <w:szCs w:val="24"/>
        </w:rPr>
        <w:t xml:space="preserve">e </w:t>
      </w:r>
      <w:r w:rsidRPr="00A27035">
        <w:rPr>
          <w:rFonts w:ascii="Garamond" w:hAnsi="Garamond"/>
          <w:color w:val="000000" w:themeColor="text1"/>
          <w:sz w:val="24"/>
          <w:szCs w:val="24"/>
        </w:rPr>
        <w:t>7</w:t>
      </w:r>
      <w:r>
        <w:rPr>
          <w:rFonts w:ascii="Garamond" w:hAnsi="Garamond"/>
          <w:color w:val="000000" w:themeColor="text1"/>
          <w:sz w:val="24"/>
          <w:szCs w:val="24"/>
        </w:rPr>
        <w:t>.</w:t>
      </w:r>
      <w:r w:rsidRPr="00AE5F42">
        <w:rPr>
          <w:rFonts w:ascii="Garamond" w:hAnsi="Garamond"/>
          <w:color w:val="000000" w:themeColor="text1"/>
          <w:sz w:val="24"/>
          <w:szCs w:val="24"/>
        </w:rPr>
        <w:t xml:space="preserve"> </w:t>
      </w:r>
      <w:r w:rsidRPr="0080228A">
        <w:rPr>
          <w:rFonts w:ascii="Garamond" w:hAnsi="Garamond"/>
          <w:b w:val="0"/>
          <w:bCs w:val="0"/>
          <w:color w:val="000000" w:themeColor="text1"/>
          <w:sz w:val="24"/>
          <w:szCs w:val="24"/>
        </w:rPr>
        <w:t>Comparative cost analysis of irrigation methods</w:t>
      </w:r>
    </w:p>
    <w:p w14:paraId="7A164070" w14:textId="0C4932D6" w:rsidR="005D0C1D" w:rsidRPr="0080228A" w:rsidRDefault="005D0C1D" w:rsidP="005D0C1D">
      <w:pPr>
        <w:pStyle w:val="Caption"/>
        <w:spacing w:after="0"/>
        <w:jc w:val="center"/>
        <w:rPr>
          <w:rFonts w:ascii="Garamond" w:hAnsi="Garamond"/>
          <w:b w:val="0"/>
          <w:bCs w:val="0"/>
          <w:i/>
          <w:iCs/>
          <w:color w:val="000000" w:themeColor="text1"/>
          <w:sz w:val="24"/>
          <w:szCs w:val="24"/>
        </w:rPr>
      </w:pPr>
      <w:r w:rsidRPr="00AE5F42">
        <w:rPr>
          <w:rFonts w:ascii="Garamond" w:hAnsi="Garamond"/>
          <w:color w:val="000000" w:themeColor="text1"/>
          <w:sz w:val="24"/>
          <w:szCs w:val="24"/>
        </w:rPr>
        <w:t>Table</w:t>
      </w:r>
      <w:r>
        <w:rPr>
          <w:rFonts w:ascii="Garamond" w:hAnsi="Garamond"/>
          <w:b w:val="0"/>
          <w:bCs w:val="0"/>
          <w:i/>
          <w:iCs/>
          <w:color w:val="000000" w:themeColor="text1"/>
          <w:sz w:val="24"/>
          <w:szCs w:val="24"/>
        </w:rPr>
        <w:t xml:space="preserve"> </w:t>
      </w:r>
      <w:r w:rsidRPr="00AE5F42">
        <w:rPr>
          <w:rFonts w:ascii="Garamond" w:hAnsi="Garamond"/>
          <w:b w:val="0"/>
          <w:bCs w:val="0"/>
          <w:i/>
          <w:iCs/>
          <w:color w:val="000000" w:themeColor="text1"/>
          <w:sz w:val="24"/>
          <w:szCs w:val="24"/>
        </w:rPr>
        <w:fldChar w:fldCharType="begin"/>
      </w:r>
      <w:r w:rsidRPr="00AE5F42">
        <w:rPr>
          <w:rFonts w:ascii="Garamond" w:hAnsi="Garamond"/>
          <w:color w:val="000000" w:themeColor="text1"/>
          <w:sz w:val="24"/>
          <w:szCs w:val="24"/>
        </w:rPr>
        <w:instrText xml:space="preserve"> SEQ Table \* ARABIC \s 1 </w:instrText>
      </w:r>
      <w:r w:rsidRPr="00AE5F42">
        <w:rPr>
          <w:rFonts w:ascii="Garamond" w:hAnsi="Garamond"/>
          <w:b w:val="0"/>
          <w:bCs w:val="0"/>
          <w:i/>
          <w:iCs/>
          <w:color w:val="000000" w:themeColor="text1"/>
          <w:sz w:val="24"/>
          <w:szCs w:val="24"/>
        </w:rPr>
        <w:fldChar w:fldCharType="separate"/>
      </w:r>
      <w:r w:rsidR="002666D3">
        <w:rPr>
          <w:rFonts w:ascii="Garamond" w:hAnsi="Garamond"/>
          <w:noProof/>
          <w:color w:val="000000" w:themeColor="text1"/>
          <w:sz w:val="24"/>
          <w:szCs w:val="24"/>
        </w:rPr>
        <w:t>3</w:t>
      </w:r>
      <w:r w:rsidRPr="00AE5F42">
        <w:rPr>
          <w:rFonts w:ascii="Garamond" w:hAnsi="Garamond"/>
          <w:b w:val="0"/>
          <w:bCs w:val="0"/>
          <w:i/>
          <w:iCs/>
          <w:color w:val="000000" w:themeColor="text1"/>
          <w:sz w:val="24"/>
          <w:szCs w:val="24"/>
        </w:rPr>
        <w:fldChar w:fldCharType="end"/>
      </w:r>
      <w:r>
        <w:rPr>
          <w:rFonts w:ascii="Garamond" w:hAnsi="Garamond"/>
          <w:color w:val="000000" w:themeColor="text1"/>
          <w:sz w:val="24"/>
          <w:szCs w:val="24"/>
        </w:rPr>
        <w:t xml:space="preserve">. </w:t>
      </w:r>
      <w:r w:rsidRPr="0080228A">
        <w:rPr>
          <w:rFonts w:ascii="Garamond" w:hAnsi="Garamond"/>
          <w:b w:val="0"/>
          <w:bCs w:val="0"/>
          <w:color w:val="000000" w:themeColor="text1"/>
          <w:sz w:val="24"/>
          <w:szCs w:val="24"/>
        </w:rPr>
        <w:t>Sample water quality result.</w:t>
      </w:r>
    </w:p>
    <w:tbl>
      <w:tblPr>
        <w:tblW w:w="4325" w:type="pct"/>
        <w:jc w:val="center"/>
        <w:tblLook w:val="04A0" w:firstRow="1" w:lastRow="0" w:firstColumn="1" w:lastColumn="0" w:noHBand="0" w:noVBand="1"/>
      </w:tblPr>
      <w:tblGrid>
        <w:gridCol w:w="2096"/>
        <w:gridCol w:w="931"/>
        <w:gridCol w:w="931"/>
        <w:gridCol w:w="931"/>
        <w:gridCol w:w="931"/>
        <w:gridCol w:w="931"/>
        <w:gridCol w:w="931"/>
      </w:tblGrid>
      <w:tr w:rsidR="005D0C1D" w:rsidRPr="00AE5F42" w14:paraId="4BFCBFB2" w14:textId="77777777" w:rsidTr="00797291">
        <w:trPr>
          <w:trHeight w:val="53"/>
          <w:jc w:val="center"/>
        </w:trPr>
        <w:tc>
          <w:tcPr>
            <w:tcW w:w="1404"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42B30225" w14:textId="77777777" w:rsidR="005D0C1D" w:rsidRPr="00AE5F42" w:rsidRDefault="005D0C1D" w:rsidP="00797291">
            <w:pPr>
              <w:spacing w:after="0" w:line="240" w:lineRule="auto"/>
              <w:jc w:val="center"/>
              <w:rPr>
                <w:rFonts w:ascii="Garamond" w:eastAsia="Times New Roman" w:hAnsi="Garamond" w:cstheme="minorHAnsi"/>
                <w:b/>
                <w:bCs/>
                <w:color w:val="000000"/>
                <w:sz w:val="24"/>
                <w:szCs w:val="24"/>
              </w:rPr>
            </w:pPr>
            <w:r w:rsidRPr="00AE5F42">
              <w:rPr>
                <w:rFonts w:ascii="Garamond" w:eastAsia="Times New Roman" w:hAnsi="Garamond" w:cstheme="minorHAnsi"/>
                <w:b/>
                <w:bCs/>
                <w:color w:val="000000"/>
                <w:sz w:val="24"/>
                <w:szCs w:val="24"/>
              </w:rPr>
              <w:t>Sample</w:t>
            </w:r>
          </w:p>
        </w:tc>
        <w:tc>
          <w:tcPr>
            <w:tcW w:w="1871" w:type="pct"/>
            <w:gridSpan w:val="3"/>
            <w:tcBorders>
              <w:top w:val="single" w:sz="4" w:space="0" w:color="000000"/>
              <w:left w:val="nil"/>
              <w:bottom w:val="single" w:sz="4" w:space="0" w:color="000000"/>
              <w:right w:val="single" w:sz="4" w:space="0" w:color="000000"/>
            </w:tcBorders>
            <w:noWrap/>
            <w:vAlign w:val="bottom"/>
            <w:hideMark/>
          </w:tcPr>
          <w:p w14:paraId="68663036" w14:textId="77777777" w:rsidR="005D0C1D" w:rsidRPr="00AE5F42" w:rsidRDefault="005D0C1D" w:rsidP="00797291">
            <w:pPr>
              <w:spacing w:after="0" w:line="240" w:lineRule="auto"/>
              <w:jc w:val="center"/>
              <w:rPr>
                <w:rFonts w:ascii="Garamond" w:eastAsia="Times New Roman" w:hAnsi="Garamond" w:cstheme="minorHAnsi"/>
                <w:b/>
                <w:bCs/>
                <w:color w:val="000000"/>
                <w:sz w:val="24"/>
                <w:szCs w:val="24"/>
              </w:rPr>
            </w:pPr>
            <w:r w:rsidRPr="00AE5F42">
              <w:rPr>
                <w:rFonts w:ascii="Garamond" w:eastAsia="Times New Roman" w:hAnsi="Garamond" w:cstheme="minorHAnsi"/>
                <w:b/>
                <w:bCs/>
                <w:color w:val="000000"/>
                <w:sz w:val="24"/>
                <w:szCs w:val="24"/>
              </w:rPr>
              <w:t>BOD (mg/l)</w:t>
            </w:r>
          </w:p>
        </w:tc>
        <w:tc>
          <w:tcPr>
            <w:tcW w:w="1725" w:type="pct"/>
            <w:gridSpan w:val="3"/>
            <w:tcBorders>
              <w:top w:val="single" w:sz="4" w:space="0" w:color="000000"/>
              <w:left w:val="nil"/>
              <w:bottom w:val="single" w:sz="4" w:space="0" w:color="000000"/>
              <w:right w:val="single" w:sz="4" w:space="0" w:color="000000"/>
            </w:tcBorders>
            <w:noWrap/>
            <w:vAlign w:val="bottom"/>
            <w:hideMark/>
          </w:tcPr>
          <w:p w14:paraId="3354819A" w14:textId="77777777" w:rsidR="005D0C1D" w:rsidRPr="00AE5F42" w:rsidRDefault="005D0C1D" w:rsidP="00797291">
            <w:pPr>
              <w:spacing w:after="0" w:line="240" w:lineRule="auto"/>
              <w:jc w:val="center"/>
              <w:rPr>
                <w:rFonts w:ascii="Garamond" w:eastAsia="Times New Roman" w:hAnsi="Garamond" w:cstheme="minorHAnsi"/>
                <w:b/>
                <w:bCs/>
                <w:color w:val="000000"/>
                <w:sz w:val="24"/>
                <w:szCs w:val="24"/>
              </w:rPr>
            </w:pPr>
            <w:r w:rsidRPr="00AE5F42">
              <w:rPr>
                <w:rFonts w:ascii="Garamond" w:eastAsia="Times New Roman" w:hAnsi="Garamond" w:cstheme="minorHAnsi"/>
                <w:b/>
                <w:bCs/>
                <w:color w:val="000000"/>
                <w:sz w:val="24"/>
                <w:szCs w:val="24"/>
              </w:rPr>
              <w:t>COD (mg/l)</w:t>
            </w:r>
          </w:p>
        </w:tc>
      </w:tr>
      <w:tr w:rsidR="005D0C1D" w:rsidRPr="00AE5F42" w14:paraId="47985AF5" w14:textId="77777777" w:rsidTr="00797291">
        <w:trPr>
          <w:trHeight w:val="53"/>
          <w:jc w:val="center"/>
        </w:trPr>
        <w:tc>
          <w:tcPr>
            <w:tcW w:w="1404" w:type="pct"/>
            <w:vMerge/>
            <w:tcBorders>
              <w:top w:val="single" w:sz="4" w:space="0" w:color="000000"/>
              <w:left w:val="single" w:sz="4" w:space="0" w:color="000000"/>
              <w:bottom w:val="single" w:sz="4" w:space="0" w:color="000000"/>
              <w:right w:val="single" w:sz="4" w:space="0" w:color="000000"/>
            </w:tcBorders>
            <w:vAlign w:val="center"/>
            <w:hideMark/>
          </w:tcPr>
          <w:p w14:paraId="3A52E5D5" w14:textId="77777777" w:rsidR="005D0C1D" w:rsidRPr="00AE5F42" w:rsidRDefault="005D0C1D" w:rsidP="00797291">
            <w:pPr>
              <w:spacing w:after="0" w:line="240" w:lineRule="auto"/>
              <w:jc w:val="center"/>
              <w:rPr>
                <w:rFonts w:ascii="Garamond" w:eastAsia="Times New Roman" w:hAnsi="Garamond" w:cstheme="minorHAnsi"/>
                <w:b/>
                <w:bCs/>
                <w:color w:val="000000"/>
                <w:sz w:val="24"/>
                <w:szCs w:val="24"/>
              </w:rPr>
            </w:pPr>
          </w:p>
        </w:tc>
        <w:tc>
          <w:tcPr>
            <w:tcW w:w="624" w:type="pct"/>
            <w:tcBorders>
              <w:top w:val="nil"/>
              <w:left w:val="nil"/>
              <w:bottom w:val="single" w:sz="4" w:space="0" w:color="000000"/>
              <w:right w:val="single" w:sz="4" w:space="0" w:color="000000"/>
            </w:tcBorders>
            <w:noWrap/>
            <w:vAlign w:val="bottom"/>
            <w:hideMark/>
          </w:tcPr>
          <w:p w14:paraId="1947F1E0"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Phase 7</w:t>
            </w:r>
          </w:p>
        </w:tc>
        <w:tc>
          <w:tcPr>
            <w:tcW w:w="624" w:type="pct"/>
            <w:tcBorders>
              <w:top w:val="nil"/>
              <w:left w:val="nil"/>
              <w:bottom w:val="single" w:sz="4" w:space="0" w:color="000000"/>
              <w:right w:val="single" w:sz="4" w:space="0" w:color="000000"/>
            </w:tcBorders>
            <w:noWrap/>
            <w:vAlign w:val="bottom"/>
            <w:hideMark/>
          </w:tcPr>
          <w:p w14:paraId="7816DB83"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Phase 6</w:t>
            </w:r>
          </w:p>
        </w:tc>
        <w:tc>
          <w:tcPr>
            <w:tcW w:w="624" w:type="pct"/>
            <w:tcBorders>
              <w:top w:val="nil"/>
              <w:left w:val="nil"/>
              <w:bottom w:val="single" w:sz="4" w:space="0" w:color="000000"/>
              <w:right w:val="single" w:sz="4" w:space="0" w:color="000000"/>
            </w:tcBorders>
            <w:noWrap/>
            <w:vAlign w:val="bottom"/>
            <w:hideMark/>
          </w:tcPr>
          <w:p w14:paraId="1FF03930"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Phase 4</w:t>
            </w:r>
          </w:p>
        </w:tc>
        <w:tc>
          <w:tcPr>
            <w:tcW w:w="624" w:type="pct"/>
            <w:tcBorders>
              <w:top w:val="nil"/>
              <w:left w:val="nil"/>
              <w:bottom w:val="single" w:sz="4" w:space="0" w:color="000000"/>
              <w:right w:val="single" w:sz="4" w:space="0" w:color="000000"/>
            </w:tcBorders>
            <w:noWrap/>
            <w:vAlign w:val="bottom"/>
            <w:hideMark/>
          </w:tcPr>
          <w:p w14:paraId="5DCE9F02"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Phase 7</w:t>
            </w:r>
          </w:p>
        </w:tc>
        <w:tc>
          <w:tcPr>
            <w:tcW w:w="624" w:type="pct"/>
            <w:tcBorders>
              <w:top w:val="nil"/>
              <w:left w:val="nil"/>
              <w:bottom w:val="single" w:sz="4" w:space="0" w:color="000000"/>
              <w:right w:val="single" w:sz="4" w:space="0" w:color="000000"/>
            </w:tcBorders>
            <w:noWrap/>
            <w:vAlign w:val="bottom"/>
            <w:hideMark/>
          </w:tcPr>
          <w:p w14:paraId="5AB6EEE2"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Phase 6</w:t>
            </w:r>
          </w:p>
        </w:tc>
        <w:tc>
          <w:tcPr>
            <w:tcW w:w="478" w:type="pct"/>
            <w:tcBorders>
              <w:top w:val="nil"/>
              <w:left w:val="nil"/>
              <w:bottom w:val="single" w:sz="4" w:space="0" w:color="000000"/>
              <w:right w:val="single" w:sz="4" w:space="0" w:color="000000"/>
            </w:tcBorders>
            <w:noWrap/>
            <w:vAlign w:val="bottom"/>
            <w:hideMark/>
          </w:tcPr>
          <w:p w14:paraId="36F7482B"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Phase 4</w:t>
            </w:r>
          </w:p>
        </w:tc>
      </w:tr>
      <w:tr w:rsidR="005D0C1D" w:rsidRPr="00AE5F42" w14:paraId="65B369BE" w14:textId="77777777" w:rsidTr="00797291">
        <w:trPr>
          <w:trHeight w:val="53"/>
          <w:jc w:val="center"/>
        </w:trPr>
        <w:tc>
          <w:tcPr>
            <w:tcW w:w="1404" w:type="pct"/>
            <w:tcBorders>
              <w:top w:val="nil"/>
              <w:left w:val="single" w:sz="4" w:space="0" w:color="000000"/>
              <w:bottom w:val="single" w:sz="4" w:space="0" w:color="000000"/>
              <w:right w:val="single" w:sz="4" w:space="0" w:color="000000"/>
            </w:tcBorders>
            <w:noWrap/>
            <w:vAlign w:val="bottom"/>
            <w:hideMark/>
          </w:tcPr>
          <w:p w14:paraId="3AE651D4" w14:textId="77777777" w:rsidR="005D0C1D" w:rsidRPr="00AE5F42" w:rsidRDefault="005D0C1D" w:rsidP="00797291">
            <w:pPr>
              <w:spacing w:after="0" w:line="240" w:lineRule="auto"/>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Fresh Water Sample</w:t>
            </w:r>
          </w:p>
        </w:tc>
        <w:tc>
          <w:tcPr>
            <w:tcW w:w="624" w:type="pct"/>
            <w:tcBorders>
              <w:top w:val="nil"/>
              <w:left w:val="nil"/>
              <w:bottom w:val="single" w:sz="4" w:space="0" w:color="000000"/>
              <w:right w:val="single" w:sz="4" w:space="0" w:color="000000"/>
            </w:tcBorders>
            <w:noWrap/>
            <w:vAlign w:val="bottom"/>
            <w:hideMark/>
          </w:tcPr>
          <w:p w14:paraId="30DE1047"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3</w:t>
            </w:r>
          </w:p>
        </w:tc>
        <w:tc>
          <w:tcPr>
            <w:tcW w:w="624" w:type="pct"/>
            <w:tcBorders>
              <w:top w:val="nil"/>
              <w:left w:val="nil"/>
              <w:bottom w:val="single" w:sz="4" w:space="0" w:color="000000"/>
              <w:right w:val="single" w:sz="4" w:space="0" w:color="000000"/>
            </w:tcBorders>
            <w:noWrap/>
            <w:vAlign w:val="bottom"/>
            <w:hideMark/>
          </w:tcPr>
          <w:p w14:paraId="52233A99"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3.2</w:t>
            </w:r>
          </w:p>
        </w:tc>
        <w:tc>
          <w:tcPr>
            <w:tcW w:w="624" w:type="pct"/>
            <w:tcBorders>
              <w:top w:val="nil"/>
              <w:left w:val="nil"/>
              <w:bottom w:val="single" w:sz="4" w:space="0" w:color="000000"/>
              <w:right w:val="single" w:sz="4" w:space="0" w:color="000000"/>
            </w:tcBorders>
            <w:noWrap/>
            <w:vAlign w:val="bottom"/>
            <w:hideMark/>
          </w:tcPr>
          <w:p w14:paraId="2C8BF260"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3.6</w:t>
            </w:r>
          </w:p>
        </w:tc>
        <w:tc>
          <w:tcPr>
            <w:tcW w:w="624" w:type="pct"/>
            <w:tcBorders>
              <w:top w:val="nil"/>
              <w:left w:val="nil"/>
              <w:bottom w:val="single" w:sz="4" w:space="0" w:color="000000"/>
              <w:right w:val="single" w:sz="4" w:space="0" w:color="000000"/>
            </w:tcBorders>
            <w:noWrap/>
            <w:vAlign w:val="bottom"/>
            <w:hideMark/>
          </w:tcPr>
          <w:p w14:paraId="0FDE0AD8"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8</w:t>
            </w:r>
          </w:p>
        </w:tc>
        <w:tc>
          <w:tcPr>
            <w:tcW w:w="624" w:type="pct"/>
            <w:tcBorders>
              <w:top w:val="nil"/>
              <w:left w:val="nil"/>
              <w:bottom w:val="single" w:sz="4" w:space="0" w:color="000000"/>
              <w:right w:val="single" w:sz="4" w:space="0" w:color="000000"/>
            </w:tcBorders>
            <w:noWrap/>
            <w:vAlign w:val="bottom"/>
            <w:hideMark/>
          </w:tcPr>
          <w:p w14:paraId="5452BC43"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10</w:t>
            </w:r>
          </w:p>
        </w:tc>
        <w:tc>
          <w:tcPr>
            <w:tcW w:w="478" w:type="pct"/>
            <w:tcBorders>
              <w:top w:val="nil"/>
              <w:left w:val="nil"/>
              <w:bottom w:val="single" w:sz="4" w:space="0" w:color="000000"/>
              <w:right w:val="single" w:sz="4" w:space="0" w:color="000000"/>
            </w:tcBorders>
            <w:noWrap/>
            <w:vAlign w:val="bottom"/>
            <w:hideMark/>
          </w:tcPr>
          <w:p w14:paraId="050D2E3C"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8</w:t>
            </w:r>
          </w:p>
        </w:tc>
      </w:tr>
      <w:tr w:rsidR="005D0C1D" w:rsidRPr="00AE5F42" w14:paraId="485166C7" w14:textId="77777777" w:rsidTr="00797291">
        <w:trPr>
          <w:trHeight w:val="53"/>
          <w:jc w:val="center"/>
        </w:trPr>
        <w:tc>
          <w:tcPr>
            <w:tcW w:w="1404" w:type="pct"/>
            <w:tcBorders>
              <w:top w:val="nil"/>
              <w:left w:val="single" w:sz="4" w:space="0" w:color="000000"/>
              <w:bottom w:val="single" w:sz="4" w:space="0" w:color="000000"/>
              <w:right w:val="single" w:sz="4" w:space="0" w:color="000000"/>
            </w:tcBorders>
            <w:noWrap/>
            <w:vAlign w:val="bottom"/>
            <w:hideMark/>
          </w:tcPr>
          <w:p w14:paraId="2EEC95D6" w14:textId="77777777" w:rsidR="005D0C1D" w:rsidRPr="00AE5F42" w:rsidRDefault="005D0C1D" w:rsidP="00797291">
            <w:pPr>
              <w:spacing w:after="0" w:line="240" w:lineRule="auto"/>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Used Water Sample</w:t>
            </w:r>
          </w:p>
        </w:tc>
        <w:tc>
          <w:tcPr>
            <w:tcW w:w="624" w:type="pct"/>
            <w:tcBorders>
              <w:top w:val="nil"/>
              <w:left w:val="nil"/>
              <w:bottom w:val="single" w:sz="4" w:space="0" w:color="000000"/>
              <w:right w:val="single" w:sz="4" w:space="0" w:color="000000"/>
            </w:tcBorders>
            <w:noWrap/>
            <w:vAlign w:val="bottom"/>
            <w:hideMark/>
          </w:tcPr>
          <w:p w14:paraId="453CF73A"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6</w:t>
            </w:r>
          </w:p>
        </w:tc>
        <w:tc>
          <w:tcPr>
            <w:tcW w:w="624" w:type="pct"/>
            <w:tcBorders>
              <w:top w:val="nil"/>
              <w:left w:val="nil"/>
              <w:bottom w:val="single" w:sz="4" w:space="0" w:color="000000"/>
              <w:right w:val="single" w:sz="4" w:space="0" w:color="000000"/>
            </w:tcBorders>
            <w:noWrap/>
            <w:vAlign w:val="bottom"/>
            <w:hideMark/>
          </w:tcPr>
          <w:p w14:paraId="4EE546A8"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4.6</w:t>
            </w:r>
          </w:p>
        </w:tc>
        <w:tc>
          <w:tcPr>
            <w:tcW w:w="624" w:type="pct"/>
            <w:tcBorders>
              <w:top w:val="nil"/>
              <w:left w:val="nil"/>
              <w:bottom w:val="single" w:sz="4" w:space="0" w:color="000000"/>
              <w:right w:val="single" w:sz="4" w:space="0" w:color="000000"/>
            </w:tcBorders>
            <w:noWrap/>
            <w:vAlign w:val="bottom"/>
            <w:hideMark/>
          </w:tcPr>
          <w:p w14:paraId="4CD48C06"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5.6</w:t>
            </w:r>
          </w:p>
        </w:tc>
        <w:tc>
          <w:tcPr>
            <w:tcW w:w="624" w:type="pct"/>
            <w:tcBorders>
              <w:top w:val="nil"/>
              <w:left w:val="nil"/>
              <w:bottom w:val="single" w:sz="4" w:space="0" w:color="000000"/>
              <w:right w:val="single" w:sz="4" w:space="0" w:color="000000"/>
            </w:tcBorders>
            <w:noWrap/>
            <w:vAlign w:val="bottom"/>
            <w:hideMark/>
          </w:tcPr>
          <w:p w14:paraId="110C98BA"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11</w:t>
            </w:r>
          </w:p>
        </w:tc>
        <w:tc>
          <w:tcPr>
            <w:tcW w:w="624" w:type="pct"/>
            <w:tcBorders>
              <w:top w:val="nil"/>
              <w:left w:val="nil"/>
              <w:bottom w:val="single" w:sz="4" w:space="0" w:color="000000"/>
              <w:right w:val="single" w:sz="4" w:space="0" w:color="000000"/>
            </w:tcBorders>
            <w:noWrap/>
            <w:vAlign w:val="bottom"/>
            <w:hideMark/>
          </w:tcPr>
          <w:p w14:paraId="2B4BC32E"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12</w:t>
            </w:r>
          </w:p>
        </w:tc>
        <w:tc>
          <w:tcPr>
            <w:tcW w:w="478" w:type="pct"/>
            <w:tcBorders>
              <w:top w:val="nil"/>
              <w:left w:val="nil"/>
              <w:bottom w:val="single" w:sz="4" w:space="0" w:color="000000"/>
              <w:right w:val="single" w:sz="4" w:space="0" w:color="000000"/>
            </w:tcBorders>
            <w:noWrap/>
            <w:vAlign w:val="bottom"/>
            <w:hideMark/>
          </w:tcPr>
          <w:p w14:paraId="148B8A9D" w14:textId="77777777" w:rsidR="005D0C1D" w:rsidRPr="00AE5F42" w:rsidRDefault="005D0C1D" w:rsidP="00797291">
            <w:pPr>
              <w:spacing w:after="0" w:line="240" w:lineRule="auto"/>
              <w:jc w:val="center"/>
              <w:rPr>
                <w:rFonts w:ascii="Garamond" w:eastAsia="Times New Roman" w:hAnsi="Garamond" w:cstheme="minorHAnsi"/>
                <w:color w:val="000000"/>
                <w:sz w:val="24"/>
                <w:szCs w:val="24"/>
              </w:rPr>
            </w:pPr>
            <w:r w:rsidRPr="00AE5F42">
              <w:rPr>
                <w:rFonts w:ascii="Garamond" w:eastAsia="Times New Roman" w:hAnsi="Garamond" w:cstheme="minorHAnsi"/>
                <w:color w:val="000000"/>
                <w:sz w:val="24"/>
                <w:szCs w:val="24"/>
              </w:rPr>
              <w:t>10</w:t>
            </w:r>
          </w:p>
        </w:tc>
      </w:tr>
    </w:tbl>
    <w:p w14:paraId="15E4D0DD" w14:textId="77777777" w:rsidR="0083501F" w:rsidRPr="00AE5F42" w:rsidRDefault="0083501F" w:rsidP="00656BD3">
      <w:pPr>
        <w:spacing w:after="0" w:line="240" w:lineRule="auto"/>
        <w:jc w:val="both"/>
        <w:rPr>
          <w:rFonts w:ascii="Garamond" w:hAnsi="Garamond"/>
          <w:b/>
          <w:bCs/>
          <w:sz w:val="24"/>
          <w:szCs w:val="24"/>
        </w:rPr>
      </w:pPr>
      <w:r w:rsidRPr="00AE5F42">
        <w:rPr>
          <w:rFonts w:ascii="Garamond" w:hAnsi="Garamond"/>
          <w:b/>
          <w:bCs/>
          <w:sz w:val="24"/>
          <w:szCs w:val="24"/>
        </w:rPr>
        <w:t>Discussion</w:t>
      </w:r>
      <w:r>
        <w:rPr>
          <w:rFonts w:ascii="Garamond" w:hAnsi="Garamond"/>
          <w:b/>
          <w:bCs/>
          <w:sz w:val="24"/>
          <w:szCs w:val="24"/>
        </w:rPr>
        <w:t>:</w:t>
      </w:r>
    </w:p>
    <w:p w14:paraId="062D6237" w14:textId="18FFC34B" w:rsidR="0083501F" w:rsidRPr="00AE5F42" w:rsidRDefault="0083501F" w:rsidP="00656BD3">
      <w:pPr>
        <w:spacing w:after="0" w:line="240" w:lineRule="auto"/>
        <w:ind w:firstLine="720"/>
        <w:jc w:val="both"/>
        <w:rPr>
          <w:rFonts w:ascii="Garamond" w:hAnsi="Garamond"/>
          <w:sz w:val="24"/>
          <w:szCs w:val="24"/>
        </w:rPr>
      </w:pPr>
      <w:bookmarkStart w:id="2" w:name="_Hlk203053491"/>
      <w:r w:rsidRPr="00AE5F42">
        <w:rPr>
          <w:rFonts w:ascii="Garamond" w:hAnsi="Garamond"/>
          <w:sz w:val="24"/>
          <w:szCs w:val="24"/>
        </w:rPr>
        <w:t>This study evaluated the feasibility of reusing mosque ablution water to irrigate green belts in Hayatabad, Peshawar, as a sustainable alternative to traditional tubewell-based irrigation</w:t>
      </w:r>
      <w:r w:rsidR="009F211C">
        <w:rPr>
          <w:rFonts w:ascii="Garamond" w:hAnsi="Garamond"/>
          <w:sz w:val="24"/>
          <w:szCs w:val="24"/>
        </w:rPr>
        <w:t xml:space="preserve"> </w:t>
      </w:r>
      <w:r w:rsidR="009F211C">
        <w:rPr>
          <w:rFonts w:ascii="Garamond" w:hAnsi="Garamond"/>
          <w:sz w:val="24"/>
          <w:szCs w:val="24"/>
        </w:rPr>
        <w:fldChar w:fldCharType="begin" w:fldLock="1"/>
      </w:r>
      <w:r w:rsidR="000D0256">
        <w:rPr>
          <w:rFonts w:ascii="Garamond" w:hAnsi="Garamond"/>
          <w:sz w:val="24"/>
          <w:szCs w:val="24"/>
        </w:rPr>
        <w:instrText>ADDIN CSL_CITATION {"citationItems":[{"id":"ITEM-1","itemData":{"DOI":"10.1016/J.ENVSCI.2017.10.008","ISSN":"18736416","abstract":"The uncertainty concepts play a prominent role in global environmental change research, including climate change science and climate change impact science, with hydrology and water resources research in particular. One is uncertain, to varying degrees, about virtually everything in the future as well as about much of the past and the present state. The present paper reviews applications of the uncertainty notion to results of change detection, process understanding and modeling of systems, and – foremost – projections of future climate change impacts on water resources. We present a framework of assessing and reducing uncertainty and propose measures that could improve uncertainty communication, e.g. relying on ensembles and multi-model probabilistic approaches rather than projecting ranges of values. We distinguish two possible management strategies if uncertainty is irreducible – the precautionary principle and the adaptive management.","author":[{"dropping-particle":"","family":"Kundzewicz","given":"Z. W.","non-dropping-particle":"","parse-names":false,"suffix":""},{"dropping-particle":"","family":"Krysanova","given":"V.","non-dropping-particle":"","parse-names":false,"suffix":""},{"dropping-particle":"","family":"Benestad","given":"R. E.","non-dropping-particle":"","parse-names":false,"suffix":""},{"dropping-particle":"","family":"Hov","given":"","non-dropping-particle":"","parse-names":false,"suffix":""},{"dropping-particle":"","family":"Piniewski","given":"M.","non-dropping-particle":"","parse-names":false,"suffix":""},{"dropping-particle":"","family":"Otto","given":"I. M.","non-dropping-particle":"","parse-names":false,"suffix":""}],"container-title":"Environmental Science and Policy","id":"ITEM-1","issued":{"date-parts":[["2018","1","1"]]},"page":"1-8","publisher":"Elsevier Ltd","title":"Uncertainty in climate change impacts on water resources","type":"article-journal","volume":"79"},"uris":["http://www.mendeley.com/documents/?uuid=76450e60-8944-3ed0-8b64-ed9fdb05bb7c"]}],"mendeley":{"formattedCitation":"[14]","plainTextFormattedCitation":"[14]","previouslyFormattedCitation":"[13]"},"properties":{"noteIndex":0},"schema":"https://github.com/citation-style-language/schema/raw/master/csl-citation.json"}</w:instrText>
      </w:r>
      <w:r w:rsidR="009F211C">
        <w:rPr>
          <w:rFonts w:ascii="Garamond" w:hAnsi="Garamond"/>
          <w:sz w:val="24"/>
          <w:szCs w:val="24"/>
        </w:rPr>
        <w:fldChar w:fldCharType="separate"/>
      </w:r>
      <w:r w:rsidR="000D0256" w:rsidRPr="000D0256">
        <w:rPr>
          <w:rFonts w:ascii="Garamond" w:hAnsi="Garamond"/>
          <w:noProof/>
          <w:sz w:val="24"/>
          <w:szCs w:val="24"/>
        </w:rPr>
        <w:t>[14]</w:t>
      </w:r>
      <w:r w:rsidR="009F211C">
        <w:rPr>
          <w:rFonts w:ascii="Garamond" w:hAnsi="Garamond"/>
          <w:sz w:val="24"/>
          <w:szCs w:val="24"/>
        </w:rPr>
        <w:fldChar w:fldCharType="end"/>
      </w:r>
      <w:r w:rsidR="009F211C">
        <w:rPr>
          <w:rFonts w:ascii="Garamond" w:hAnsi="Garamond"/>
          <w:sz w:val="24"/>
          <w:szCs w:val="24"/>
        </w:rPr>
        <w:t xml:space="preserve">, </w:t>
      </w:r>
      <w:r w:rsidR="009F211C">
        <w:rPr>
          <w:rFonts w:ascii="Garamond" w:hAnsi="Garamond"/>
          <w:sz w:val="24"/>
          <w:szCs w:val="24"/>
        </w:rPr>
        <w:fldChar w:fldCharType="begin" w:fldLock="1"/>
      </w:r>
      <w:r w:rsidR="000D0256">
        <w:rPr>
          <w:rFonts w:ascii="Garamond" w:hAnsi="Garamond"/>
          <w:sz w:val="24"/>
          <w:szCs w:val="24"/>
        </w:rPr>
        <w:instrText>ADDIN CSL_CITATION {"citationItems":[{"id":"ITEM-1","itemData":{"DOI":"10.1016/J.GSF.2020.08.002","ISSN":"16749871","abstract":"When pumping is conducted in confined aquifer inside excavation pit (waterproof curtain), the direction of the groundwater seepage outside the excavation changes from horizontal to vertical owing to the existence of the curtain barrier. There is no analytical calculation method for the groundwater head distribution induced by dewatering inside excavation. This paper first analyses the mechanism of the blocking effects from a close barrier in confined aquifer. Then, a simple equation based on analytical solution is proposed to calculate groundwater heads inside and outside of the excavation pit with waterproof curtain (hereafter refer to close barrier) in a confined aquifer. The distribution of groundwater head is derived according to two conditions: (i) pumping with a constant water head, and (ii) pumping with a constant flow rate. The proposed calculation equation is verified by both numerical simulation and experimental results. The comparisons demonstrate that the proposed model can be applied in engineering practice of excavation.","author":[{"dropping-particle":"","family":"Lyu","given":"Hai Min","non-dropping-particle":"","parse-names":false,"suffix":""},{"dropping-particle":"","family":"Shen","given":"Shui Long","non-dropping-particle":"","parse-names":false,"suffix":""},{"dropping-particle":"","family":"Wu","given":"Yong Xia","non-dropping-particle":"","parse-names":false,"suffix":""},{"dropping-particle":"","family":"Zhou","given":"An Nan","non-dropping-particle":"","parse-names":false,"suffix":""}],"container-title":"Geoscience Frontiers","id":"ITEM-1","issue":"2","issued":{"date-parts":[["2021","3","1"]]},"page":"791-803","publisher":"Elsevier B.V.","title":"Calculation of groundwater head distribution with a close barrier during excavation dewatering in confined aquifer","type":"article-journal","volume":"12"},"uris":["http://www.mendeley.com/documents/?uuid=a5b36d88-cfbf-3aad-847f-03e978b1db12"]}],"mendeley":{"formattedCitation":"[15]","plainTextFormattedCitation":"[15]","previouslyFormattedCitation":"[14]"},"properties":{"noteIndex":0},"schema":"https://github.com/citation-style-language/schema/raw/master/csl-citation.json"}</w:instrText>
      </w:r>
      <w:r w:rsidR="009F211C">
        <w:rPr>
          <w:rFonts w:ascii="Garamond" w:hAnsi="Garamond"/>
          <w:sz w:val="24"/>
          <w:szCs w:val="24"/>
        </w:rPr>
        <w:fldChar w:fldCharType="separate"/>
      </w:r>
      <w:r w:rsidR="000D0256" w:rsidRPr="000D0256">
        <w:rPr>
          <w:rFonts w:ascii="Garamond" w:hAnsi="Garamond"/>
          <w:noProof/>
          <w:sz w:val="24"/>
          <w:szCs w:val="24"/>
        </w:rPr>
        <w:t>[15]</w:t>
      </w:r>
      <w:r w:rsidR="009F211C">
        <w:rPr>
          <w:rFonts w:ascii="Garamond" w:hAnsi="Garamond"/>
          <w:sz w:val="24"/>
          <w:szCs w:val="24"/>
        </w:rPr>
        <w:fldChar w:fldCharType="end"/>
      </w:r>
      <w:r w:rsidRPr="00AE5F42">
        <w:rPr>
          <w:rFonts w:ascii="Garamond" w:hAnsi="Garamond"/>
          <w:sz w:val="24"/>
          <w:szCs w:val="24"/>
        </w:rPr>
        <w:t>. The spatial analysis demonstrated that approximately 62,000 liters of ablution water could be collected daily from 62 mosques, which are strategically located within an average 450-meter radius of the green belts. This proximity significantly reduced the need for long-distance pumping and transport, improving the overall energy and cost efficiency of irrigation operations. The cost and energy analysis revealed that the current tubewell system requires lifting water from a depth of 750 feet using 60 HP (≈45 kW) pumps, resulting in daily electricity costs of approximately PKR</w:t>
      </w:r>
      <w:r w:rsidRPr="00AE5F42">
        <w:rPr>
          <w:rFonts w:ascii="Times New Roman" w:hAnsi="Times New Roman" w:cs="Times New Roman"/>
          <w:sz w:val="24"/>
          <w:szCs w:val="24"/>
        </w:rPr>
        <w:t> </w:t>
      </w:r>
      <w:r w:rsidRPr="00AE5F42">
        <w:rPr>
          <w:rFonts w:ascii="Garamond" w:hAnsi="Garamond"/>
          <w:sz w:val="24"/>
          <w:szCs w:val="24"/>
        </w:rPr>
        <w:t>5,733 and fuel costs of about PKR</w:t>
      </w:r>
      <w:r w:rsidRPr="00AE5F42">
        <w:rPr>
          <w:rFonts w:ascii="Times New Roman" w:hAnsi="Times New Roman" w:cs="Times New Roman"/>
          <w:sz w:val="24"/>
          <w:szCs w:val="24"/>
        </w:rPr>
        <w:t> </w:t>
      </w:r>
      <w:r w:rsidRPr="00AE5F42">
        <w:rPr>
          <w:rFonts w:ascii="Garamond" w:hAnsi="Garamond"/>
          <w:sz w:val="24"/>
          <w:szCs w:val="24"/>
        </w:rPr>
        <w:t>8,000 for tanker transport. In contrast, the mosque-based system, using 0.5 HP (</w:t>
      </w:r>
      <w:r w:rsidRPr="00AE5F42">
        <w:rPr>
          <w:rFonts w:ascii="Garamond" w:hAnsi="Garamond" w:cs="Garamond"/>
          <w:sz w:val="24"/>
          <w:szCs w:val="24"/>
        </w:rPr>
        <w:t>≈</w:t>
      </w:r>
      <w:r w:rsidRPr="00AE5F42">
        <w:rPr>
          <w:rFonts w:ascii="Garamond" w:hAnsi="Garamond"/>
          <w:sz w:val="24"/>
          <w:szCs w:val="24"/>
        </w:rPr>
        <w:t>0.373 kW) pumps and shorter distribution distances, required only ~2 kWh of electricity daily (PKR</w:t>
      </w:r>
      <w:r w:rsidRPr="00AE5F42">
        <w:rPr>
          <w:rFonts w:ascii="Times New Roman" w:hAnsi="Times New Roman" w:cs="Times New Roman"/>
          <w:sz w:val="24"/>
          <w:szCs w:val="24"/>
        </w:rPr>
        <w:t> </w:t>
      </w:r>
      <w:r w:rsidRPr="00AE5F42">
        <w:rPr>
          <w:rFonts w:ascii="Garamond" w:hAnsi="Garamond"/>
          <w:sz w:val="24"/>
          <w:szCs w:val="24"/>
        </w:rPr>
        <w:t>104) per tanker and about 2 liters of diesel (≈PKR</w:t>
      </w:r>
      <w:r w:rsidRPr="00AE5F42">
        <w:rPr>
          <w:rFonts w:ascii="Times New Roman" w:hAnsi="Times New Roman" w:cs="Times New Roman"/>
          <w:sz w:val="24"/>
          <w:szCs w:val="24"/>
        </w:rPr>
        <w:t> </w:t>
      </w:r>
      <w:r w:rsidRPr="00AE5F42">
        <w:rPr>
          <w:rFonts w:ascii="Garamond" w:hAnsi="Garamond"/>
          <w:sz w:val="24"/>
          <w:szCs w:val="24"/>
        </w:rPr>
        <w:t xml:space="preserve">600) for tanker operations. </w:t>
      </w:r>
    </w:p>
    <w:p w14:paraId="161D86BD" w14:textId="691EF8E6" w:rsidR="0083501F" w:rsidRPr="00AE5F42" w:rsidRDefault="0083501F" w:rsidP="00656BD3">
      <w:pPr>
        <w:spacing w:after="0" w:line="240" w:lineRule="auto"/>
        <w:ind w:firstLine="720"/>
        <w:jc w:val="both"/>
        <w:rPr>
          <w:rFonts w:ascii="Garamond" w:hAnsi="Garamond"/>
          <w:sz w:val="24"/>
          <w:szCs w:val="24"/>
        </w:rPr>
      </w:pPr>
      <w:r w:rsidRPr="00AE5F42">
        <w:rPr>
          <w:rFonts w:ascii="Garamond" w:hAnsi="Garamond"/>
          <w:sz w:val="24"/>
          <w:szCs w:val="24"/>
        </w:rPr>
        <w:t xml:space="preserve">Greywater reuse has been successfully adopted in various parts of the world for landscape irrigation, toilet flushing, and industrial processes, offering considerable potential to reduce freshwater demand and improve resilience to </w:t>
      </w:r>
      <w:r w:rsidRPr="003962CF">
        <w:rPr>
          <w:rFonts w:ascii="Garamond" w:hAnsi="Garamond"/>
          <w:sz w:val="24"/>
          <w:szCs w:val="24"/>
        </w:rPr>
        <w:t xml:space="preserve">water shortages </w:t>
      </w:r>
      <w:r w:rsidR="00DE0B96">
        <w:rPr>
          <w:rFonts w:ascii="Garamond" w:hAnsi="Garamond"/>
          <w:sz w:val="24"/>
          <w:szCs w:val="24"/>
        </w:rPr>
        <w:fldChar w:fldCharType="begin" w:fldLock="1"/>
      </w:r>
      <w:r w:rsidR="006D68DA">
        <w:rPr>
          <w:rFonts w:ascii="Garamond" w:hAnsi="Garamond"/>
          <w:sz w:val="24"/>
          <w:szCs w:val="24"/>
        </w:rPr>
        <w:instrText>ADDIN CSL_CITATION {"citationItems":[{"id":"ITEM-1","itemData":{"DOI":"https://doi.org/10.5004/dwt.2018.22790","author":[{"dropping-particle":"","family":"Ziad Al-Ghazawi, Ahmad Qasaimeh","given":"Khalid Bani-Melhem","non-dropping-particle":"","parse-names":false,"suffix":""}],"container-title":"Desalination and Water Treatment","id":"ITEM-1","issued":{"date-parts":[["2018"]]},"page":"213-221","title":"Ablution gray water qualitative assessment and treatment by submerged membrane bioreactor: a case study in Jordan","type":"article-journal","volume":"127"},"uris":["http://www.mendeley.com/documents/?uuid=35d91211-547a-49e2-bc1e-d56d512e27af"]}],"mendeley":{"formattedCitation":"[3]","plainTextFormattedCitation":"[3]","previouslyFormattedCitation":"[3]"},"properties":{"noteIndex":0},"schema":"https://github.com/citation-style-language/schema/raw/master/csl-citation.json"}</w:instrText>
      </w:r>
      <w:r w:rsidR="00DE0B96">
        <w:rPr>
          <w:rFonts w:ascii="Garamond" w:hAnsi="Garamond"/>
          <w:sz w:val="24"/>
          <w:szCs w:val="24"/>
        </w:rPr>
        <w:fldChar w:fldCharType="separate"/>
      </w:r>
      <w:r w:rsidR="006D68DA" w:rsidRPr="006D68DA">
        <w:rPr>
          <w:rFonts w:ascii="Garamond" w:hAnsi="Garamond"/>
          <w:noProof/>
          <w:sz w:val="24"/>
          <w:szCs w:val="24"/>
        </w:rPr>
        <w:t>[3]</w:t>
      </w:r>
      <w:r w:rsidR="00DE0B96">
        <w:rPr>
          <w:rFonts w:ascii="Garamond" w:hAnsi="Garamond"/>
          <w:sz w:val="24"/>
          <w:szCs w:val="24"/>
        </w:rPr>
        <w:fldChar w:fldCharType="end"/>
      </w:r>
      <w:r w:rsidR="000D0256">
        <w:rPr>
          <w:rFonts w:ascii="Garamond" w:hAnsi="Garamond"/>
          <w:sz w:val="24"/>
          <w:szCs w:val="24"/>
        </w:rPr>
        <w:t xml:space="preserve">, </w:t>
      </w:r>
      <w:r w:rsidR="000D0256">
        <w:rPr>
          <w:rFonts w:ascii="Garamond" w:hAnsi="Garamond"/>
          <w:sz w:val="24"/>
          <w:szCs w:val="24"/>
        </w:rPr>
        <w:fldChar w:fldCharType="begin" w:fldLock="1"/>
      </w:r>
      <w:r w:rsidR="000D0256">
        <w:rPr>
          <w:rFonts w:ascii="Garamond" w:hAnsi="Garamond"/>
          <w:sz w:val="24"/>
          <w:szCs w:val="24"/>
        </w:rPr>
        <w:instrText>ADDIN CSL_CITATION {"citationItems":[{"id":"ITEM-1","itemData":{"DOI":"10.1061/(ASCE)HE.1943-5584.0000967","ISSN":"1084-0699","abstract":"Climate change is anticipated to result in changes to the statistical properties of both precipitation depths and precipitation intensity. As a general representative for stormwater infrastructure, this work examines changes in detention basin performance under several different climate change model scenarios at the study location north of Washington, D.C. Frequency analysis of simulated climate model precipitation data indicates that both precipitation depths and intensities are predicted to change under future climate. The magnitude and direction of these changes vary from one climate model to the next. 24-hour design storms consistent with the future climate precipitation data are used to drive a rainfall-runoff model simulating a watershed/detention basin system. In most cases, the performance of a detention basin design based on present climate is inadequate under future climate conditions. This work explores detention basin performance based on future precipitation depths only, storm intensity only,...","author":[{"dropping-particle":"","family":"Moglen","given":"Glenn E.","non-dropping-particle":"","parse-names":false,"suffix":""},{"dropping-particle":"","family":"Rios Vidal","given":"Geil E.","non-dropping-particle":"","parse-names":false,"suffix":""}],"container-title":"Journal of Hydrologic Engineering","id":"ITEM-1","issue":"11","issued":{"date-parts":[["2014","11"]]},"publisher":"American Society of Civil Engineers (ASCE)","title":"Climate Change and Storm Water Infrastructure in the Mid-Atlantic Region: Design Mismatch Coming?","type":"article-journal","volume":"19"},"uris":["http://www.mendeley.com/documents/?uuid=9c550706-034b-38e7-83ed-8b76bb55a107"]}],"mendeley":{"formattedCitation":"[16]","plainTextFormattedCitation":"[16]","previouslyFormattedCitation":"[15]"},"properties":{"noteIndex":0},"schema":"https://github.com/citation-style-language/schema/raw/master/csl-citation.json"}</w:instrText>
      </w:r>
      <w:r w:rsidR="000D0256">
        <w:rPr>
          <w:rFonts w:ascii="Garamond" w:hAnsi="Garamond"/>
          <w:sz w:val="24"/>
          <w:szCs w:val="24"/>
        </w:rPr>
        <w:fldChar w:fldCharType="separate"/>
      </w:r>
      <w:r w:rsidR="000D0256" w:rsidRPr="000D0256">
        <w:rPr>
          <w:rFonts w:ascii="Garamond" w:hAnsi="Garamond"/>
          <w:noProof/>
          <w:sz w:val="24"/>
          <w:szCs w:val="24"/>
        </w:rPr>
        <w:t>[16]</w:t>
      </w:r>
      <w:r w:rsidR="000D0256">
        <w:rPr>
          <w:rFonts w:ascii="Garamond" w:hAnsi="Garamond"/>
          <w:sz w:val="24"/>
          <w:szCs w:val="24"/>
        </w:rPr>
        <w:fldChar w:fldCharType="end"/>
      </w:r>
      <w:r w:rsidRPr="003962CF">
        <w:rPr>
          <w:rFonts w:ascii="Garamond" w:hAnsi="Garamond"/>
          <w:sz w:val="24"/>
          <w:szCs w:val="24"/>
        </w:rPr>
        <w:t>. The integration of mosque-generated ablution water into the irrigation network offers a replicable and climate-adaptive model for cities facing water scarcity and growing urban demand</w:t>
      </w:r>
      <w:r w:rsidR="009F211C">
        <w:rPr>
          <w:rFonts w:ascii="Garamond" w:hAnsi="Garamond"/>
          <w:sz w:val="24"/>
          <w:szCs w:val="24"/>
        </w:rPr>
        <w:t xml:space="preserve"> </w:t>
      </w:r>
      <w:r w:rsidR="001E47EB">
        <w:rPr>
          <w:rFonts w:ascii="Garamond" w:hAnsi="Garamond"/>
          <w:sz w:val="24"/>
          <w:szCs w:val="24"/>
        </w:rPr>
        <w:fldChar w:fldCharType="begin" w:fldLock="1"/>
      </w:r>
      <w:r w:rsidR="000D0256">
        <w:rPr>
          <w:rFonts w:ascii="Garamond" w:hAnsi="Garamond"/>
          <w:sz w:val="24"/>
          <w:szCs w:val="24"/>
        </w:rPr>
        <w:instrText>ADDIN CSL_CITATION {"citationItems":[{"id":"ITEM-1","itemData":{"author":[{"dropping-particle":"","family":"Roubi Zaied","given":"","non-dropping-particle":"","parse-names":false,"suffix":""}],"container-title":"Applied Water Science","id":"ITEM-1","issued":{"date-parts":[["2016"]]},"title":"Water use and time analysis in ablution from taps","type":"article-journal"},"uris":["http://www.mendeley.com/documents/?uuid=0a25121c-4727-4d5d-bac3-55933ec3748d"]}],"mendeley":{"formattedCitation":"[17]","plainTextFormattedCitation":"[17]","previouslyFormattedCitation":"[16]"},"properties":{"noteIndex":0},"schema":"https://github.com/citation-style-language/schema/raw/master/csl-citation.json"}</w:instrText>
      </w:r>
      <w:r w:rsidR="001E47EB">
        <w:rPr>
          <w:rFonts w:ascii="Garamond" w:hAnsi="Garamond"/>
          <w:sz w:val="24"/>
          <w:szCs w:val="24"/>
        </w:rPr>
        <w:fldChar w:fldCharType="separate"/>
      </w:r>
      <w:r w:rsidR="000D0256" w:rsidRPr="000D0256">
        <w:rPr>
          <w:rFonts w:ascii="Garamond" w:hAnsi="Garamond"/>
          <w:noProof/>
          <w:sz w:val="24"/>
          <w:szCs w:val="24"/>
        </w:rPr>
        <w:t>[17]</w:t>
      </w:r>
      <w:r w:rsidR="001E47EB">
        <w:rPr>
          <w:rFonts w:ascii="Garamond" w:hAnsi="Garamond"/>
          <w:sz w:val="24"/>
          <w:szCs w:val="24"/>
        </w:rPr>
        <w:fldChar w:fldCharType="end"/>
      </w:r>
      <w:r w:rsidRPr="00AE5F42">
        <w:rPr>
          <w:rFonts w:ascii="Garamond" w:hAnsi="Garamond"/>
          <w:sz w:val="24"/>
          <w:szCs w:val="24"/>
        </w:rPr>
        <w:t>.</w:t>
      </w:r>
      <w:bookmarkEnd w:id="2"/>
    </w:p>
    <w:p w14:paraId="05C6C154" w14:textId="77777777" w:rsidR="0083501F" w:rsidRPr="00AE5F42" w:rsidRDefault="0083501F" w:rsidP="00656BD3">
      <w:pPr>
        <w:spacing w:after="0" w:line="240" w:lineRule="auto"/>
        <w:jc w:val="both"/>
        <w:rPr>
          <w:rFonts w:ascii="Garamond" w:hAnsi="Garamond"/>
          <w:b/>
          <w:bCs/>
          <w:sz w:val="24"/>
          <w:szCs w:val="24"/>
        </w:rPr>
      </w:pPr>
      <w:r w:rsidRPr="00AE5F42">
        <w:rPr>
          <w:rFonts w:ascii="Garamond" w:hAnsi="Garamond"/>
          <w:b/>
          <w:bCs/>
          <w:sz w:val="24"/>
          <w:szCs w:val="24"/>
        </w:rPr>
        <w:t>Conclusion</w:t>
      </w:r>
      <w:r>
        <w:rPr>
          <w:rFonts w:ascii="Garamond" w:hAnsi="Garamond"/>
          <w:b/>
          <w:bCs/>
          <w:sz w:val="24"/>
          <w:szCs w:val="24"/>
        </w:rPr>
        <w:t>:</w:t>
      </w:r>
    </w:p>
    <w:p w14:paraId="34F35DA0" w14:textId="77777777" w:rsidR="0083501F" w:rsidRPr="00AE5F42" w:rsidRDefault="0083501F" w:rsidP="00656BD3">
      <w:pPr>
        <w:spacing w:after="0" w:line="240" w:lineRule="auto"/>
        <w:ind w:firstLine="720"/>
        <w:jc w:val="both"/>
        <w:rPr>
          <w:rFonts w:ascii="Garamond" w:hAnsi="Garamond"/>
          <w:sz w:val="24"/>
          <w:szCs w:val="24"/>
        </w:rPr>
      </w:pPr>
      <w:r w:rsidRPr="00AE5F42">
        <w:rPr>
          <w:rFonts w:ascii="Garamond" w:hAnsi="Garamond"/>
          <w:sz w:val="24"/>
          <w:szCs w:val="24"/>
        </w:rPr>
        <w:t>This study demonstrates that reusing ablution water from mosques for landscape irrigation in Hayatabad, Peshawar, offers a cost-effective, energy-efficient, and environmentally sustainable alternative to conventional tubewell-based irrigation systems. With minimal treatment, the ablution water meets acceptable BOD and COD levels for non-edible irrigation and is readily available within a 450-meter radius of most green belts, significantly reducing infrastructure and transport costs. The system not only cuts daily irrigation expenses by over 60% but also reduces the fuel consumption of tanker operations by more than tenfold, contributing to lower CO</w:t>
      </w:r>
      <w:r w:rsidRPr="00AE5F42">
        <w:rPr>
          <w:rFonts w:ascii="Cambria Math" w:hAnsi="Cambria Math" w:cs="Cambria Math"/>
          <w:sz w:val="24"/>
          <w:szCs w:val="24"/>
        </w:rPr>
        <w:t>₂</w:t>
      </w:r>
      <w:r w:rsidRPr="00AE5F42">
        <w:rPr>
          <w:rFonts w:ascii="Garamond" w:hAnsi="Garamond"/>
          <w:sz w:val="24"/>
          <w:szCs w:val="24"/>
        </w:rPr>
        <w:t xml:space="preserve"> emissions and helping mitigate global warming. Furthermore, the reuse of ablution water relieves pressure on underground aquifers, promotes energy savings through low-lift or gravity-fed systems, and aligns with national and global climate resilience goals. This approach supports Sustainable Development Goals (SDGs), particularly SDG 6 (Clean Water and Sanitation) and SDG 13 (Climate Action), and presents a scalable model for water-stressed urban areas. With strong community acceptance </w:t>
      </w:r>
      <w:r w:rsidRPr="00AE5F42">
        <w:rPr>
          <w:rFonts w:ascii="Garamond" w:hAnsi="Garamond"/>
          <w:sz w:val="24"/>
          <w:szCs w:val="24"/>
        </w:rPr>
        <w:lastRenderedPageBreak/>
        <w:t>and clear environmental and economic benefits, this intervention offers a practical pathway toward sustainable urban water management in Pakistan and beyond.</w:t>
      </w:r>
    </w:p>
    <w:p w14:paraId="5FF166FD" w14:textId="775BA01C" w:rsidR="0043438F" w:rsidRDefault="0083501F" w:rsidP="00C01B70">
      <w:pPr>
        <w:spacing w:after="0" w:line="240" w:lineRule="auto"/>
        <w:jc w:val="both"/>
        <w:rPr>
          <w:rFonts w:ascii="Garamond" w:hAnsi="Garamond"/>
          <w:b/>
          <w:bCs/>
          <w:sz w:val="24"/>
          <w:szCs w:val="24"/>
        </w:rPr>
      </w:pPr>
      <w:r w:rsidRPr="00AE5F42">
        <w:rPr>
          <w:rFonts w:ascii="Garamond" w:hAnsi="Garamond"/>
          <w:b/>
          <w:bCs/>
          <w:sz w:val="24"/>
          <w:szCs w:val="24"/>
        </w:rPr>
        <w:t>References</w:t>
      </w:r>
    </w:p>
    <w:p w14:paraId="052C60F6" w14:textId="439BB3EE" w:rsidR="000D0256" w:rsidRPr="000D0256" w:rsidRDefault="00823128" w:rsidP="000D0256">
      <w:pPr>
        <w:widowControl w:val="0"/>
        <w:autoSpaceDE w:val="0"/>
        <w:autoSpaceDN w:val="0"/>
        <w:adjustRightInd w:val="0"/>
        <w:spacing w:after="0" w:line="240" w:lineRule="auto"/>
        <w:ind w:left="640" w:hanging="640"/>
        <w:rPr>
          <w:rFonts w:ascii="Garamond" w:hAnsi="Garamond" w:cs="Times New Roman"/>
          <w:noProof/>
          <w:sz w:val="24"/>
        </w:rPr>
      </w:pPr>
      <w:r>
        <w:rPr>
          <w:rFonts w:ascii="Garamond" w:eastAsia="Garamond" w:hAnsi="Garamond" w:cs="Garamond"/>
          <w:color w:val="000000" w:themeColor="text1"/>
          <w:sz w:val="24"/>
          <w:szCs w:val="24"/>
        </w:rPr>
        <w:fldChar w:fldCharType="begin" w:fldLock="1"/>
      </w:r>
      <w:r>
        <w:rPr>
          <w:rFonts w:ascii="Garamond" w:eastAsia="Garamond" w:hAnsi="Garamond" w:cs="Garamond"/>
          <w:color w:val="000000" w:themeColor="text1"/>
          <w:sz w:val="24"/>
          <w:szCs w:val="24"/>
        </w:rPr>
        <w:instrText xml:space="preserve">ADDIN Mendeley Bibliography CSL_BIBLIOGRAPHY </w:instrText>
      </w:r>
      <w:r>
        <w:rPr>
          <w:rFonts w:ascii="Garamond" w:eastAsia="Garamond" w:hAnsi="Garamond" w:cs="Garamond"/>
          <w:color w:val="000000" w:themeColor="text1"/>
          <w:sz w:val="24"/>
          <w:szCs w:val="24"/>
        </w:rPr>
        <w:fldChar w:fldCharType="separate"/>
      </w:r>
      <w:r w:rsidR="000D0256" w:rsidRPr="000D0256">
        <w:rPr>
          <w:rFonts w:ascii="Garamond" w:hAnsi="Garamond" w:cs="Times New Roman"/>
          <w:noProof/>
          <w:sz w:val="24"/>
        </w:rPr>
        <w:t>[1]</w:t>
      </w:r>
      <w:r w:rsidR="000D0256" w:rsidRPr="000D0256">
        <w:rPr>
          <w:rFonts w:ascii="Garamond" w:hAnsi="Garamond" w:cs="Times New Roman"/>
          <w:noProof/>
          <w:sz w:val="24"/>
        </w:rPr>
        <w:tab/>
        <w:t xml:space="preserve">H. Rasheed, “Drinking water quality in Pakistan: Current status and challenges,” </w:t>
      </w:r>
      <w:r w:rsidR="000D0256" w:rsidRPr="000D0256">
        <w:rPr>
          <w:rFonts w:ascii="Garamond" w:hAnsi="Garamond" w:cs="Times New Roman"/>
          <w:i/>
          <w:iCs/>
          <w:noProof/>
          <w:sz w:val="24"/>
        </w:rPr>
        <w:t>Pakistan Counc. Res. water Resour. (PCRWR), Islam.</w:t>
      </w:r>
      <w:r w:rsidR="000D0256" w:rsidRPr="000D0256">
        <w:rPr>
          <w:rFonts w:ascii="Garamond" w:hAnsi="Garamond" w:cs="Times New Roman"/>
          <w:noProof/>
          <w:sz w:val="24"/>
        </w:rPr>
        <w:t>, vol. 141, 2021.</w:t>
      </w:r>
    </w:p>
    <w:p w14:paraId="12905F03"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[2]</w:t>
      </w:r>
      <w:r w:rsidRPr="000D0256">
        <w:rPr>
          <w:rFonts w:ascii="Garamond" w:hAnsi="Garamond" w:cs="Times New Roman"/>
          <w:noProof/>
          <w:sz w:val="24"/>
        </w:rPr>
        <w:tab/>
        <w:t xml:space="preserve">N. Maqbool, “Pakistan’s Urban Water Challenges and Prospects,” </w:t>
      </w:r>
      <w:r w:rsidRPr="000D0256">
        <w:rPr>
          <w:rFonts w:ascii="Garamond" w:hAnsi="Garamond" w:cs="Times New Roman"/>
          <w:i/>
          <w:iCs/>
          <w:noProof/>
          <w:sz w:val="24"/>
        </w:rPr>
        <w:t>Pak. Dev. Rev.</w:t>
      </w:r>
      <w:r w:rsidRPr="000D0256">
        <w:rPr>
          <w:rFonts w:ascii="Garamond" w:hAnsi="Garamond" w:cs="Times New Roman"/>
          <w:noProof/>
          <w:sz w:val="24"/>
        </w:rPr>
        <w:t>, vol. 63, no. 3, pp. 417–430, 2024, doi: 10.30541/V63I3PP.449-462.</w:t>
      </w:r>
    </w:p>
    <w:p w14:paraId="4799BEEC"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[3]</w:t>
      </w:r>
      <w:r w:rsidRPr="000D0256">
        <w:rPr>
          <w:rFonts w:ascii="Garamond" w:hAnsi="Garamond" w:cs="Times New Roman"/>
          <w:noProof/>
          <w:sz w:val="24"/>
        </w:rPr>
        <w:tab/>
        <w:t xml:space="preserve">K. B.-M. Ziad Al-Ghazawi, Ahmad Qasaimeh, “Ablution gray water qualitative assessment and treatment by submerged membrane bioreactor: a case study in Jordan,” </w:t>
      </w:r>
      <w:r w:rsidRPr="000D0256">
        <w:rPr>
          <w:rFonts w:ascii="Garamond" w:hAnsi="Garamond" w:cs="Times New Roman"/>
          <w:i/>
          <w:iCs/>
          <w:noProof/>
          <w:sz w:val="24"/>
        </w:rPr>
        <w:t>Desalin. Water Treat.</w:t>
      </w:r>
      <w:r w:rsidRPr="000D0256">
        <w:rPr>
          <w:rFonts w:ascii="Garamond" w:hAnsi="Garamond" w:cs="Times New Roman"/>
          <w:noProof/>
          <w:sz w:val="24"/>
        </w:rPr>
        <w:t>, vol. 127, pp. 213–221, 2018, doi: https://doi.org/10.5004/dwt.2018.22790.</w:t>
      </w:r>
    </w:p>
    <w:p w14:paraId="703E2C7D"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[4]</w:t>
      </w:r>
      <w:r w:rsidRPr="000D0256">
        <w:rPr>
          <w:rFonts w:ascii="Garamond" w:hAnsi="Garamond" w:cs="Times New Roman"/>
          <w:noProof/>
          <w:sz w:val="24"/>
        </w:rPr>
        <w:tab/>
        <w:t xml:space="preserve">“Impact of Climate Change on Water in Pakistan,” </w:t>
      </w:r>
      <w:r w:rsidRPr="000D0256">
        <w:rPr>
          <w:rFonts w:ascii="Garamond" w:hAnsi="Garamond" w:cs="Times New Roman"/>
          <w:i/>
          <w:iCs/>
          <w:noProof/>
          <w:sz w:val="24"/>
        </w:rPr>
        <w:t>https://pide.org.pk/</w:t>
      </w:r>
      <w:r w:rsidRPr="000D0256">
        <w:rPr>
          <w:rFonts w:ascii="Garamond" w:hAnsi="Garamond" w:cs="Times New Roman"/>
          <w:noProof/>
          <w:sz w:val="24"/>
        </w:rPr>
        <w:t>.</w:t>
      </w:r>
    </w:p>
    <w:p w14:paraId="1C3D9F90"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[5]</w:t>
      </w:r>
      <w:r w:rsidRPr="000D0256">
        <w:rPr>
          <w:rFonts w:ascii="Garamond" w:hAnsi="Garamond" w:cs="Times New Roman"/>
          <w:noProof/>
          <w:sz w:val="24"/>
        </w:rPr>
        <w:tab/>
        <w:t xml:space="preserve">M. Rizwan </w:t>
      </w:r>
      <w:r w:rsidRPr="000D0256">
        <w:rPr>
          <w:rFonts w:ascii="Garamond" w:hAnsi="Garamond" w:cs="Times New Roman"/>
          <w:i/>
          <w:iCs/>
          <w:noProof/>
          <w:sz w:val="24"/>
        </w:rPr>
        <w:t>et al.</w:t>
      </w:r>
      <w:r w:rsidRPr="000D0256">
        <w:rPr>
          <w:rFonts w:ascii="Garamond" w:hAnsi="Garamond" w:cs="Times New Roman"/>
          <w:noProof/>
          <w:sz w:val="24"/>
        </w:rPr>
        <w:t xml:space="preserve">, “Simulating future flood risks under climate change in the source region of the Indus River,” </w:t>
      </w:r>
      <w:r w:rsidRPr="000D0256">
        <w:rPr>
          <w:rFonts w:ascii="Garamond" w:hAnsi="Garamond" w:cs="Times New Roman"/>
          <w:i/>
          <w:iCs/>
          <w:noProof/>
          <w:sz w:val="24"/>
        </w:rPr>
        <w:t>J. Flood Risk Manag.</w:t>
      </w:r>
      <w:r w:rsidRPr="000D0256">
        <w:rPr>
          <w:rFonts w:ascii="Garamond" w:hAnsi="Garamond" w:cs="Times New Roman"/>
          <w:noProof/>
          <w:sz w:val="24"/>
        </w:rPr>
        <w:t>, vol. 16, no. 1, p. e12857, Mar. 2023, doi: 10.1111/JFR3.12857.</w:t>
      </w:r>
    </w:p>
    <w:p w14:paraId="031F1D60"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[6]</w:t>
      </w:r>
      <w:r w:rsidRPr="000D0256">
        <w:rPr>
          <w:rFonts w:ascii="Garamond" w:hAnsi="Garamond" w:cs="Times New Roman"/>
          <w:noProof/>
          <w:sz w:val="24"/>
        </w:rPr>
        <w:tab/>
        <w:t xml:space="preserve">J. Raček, “Gray Water Reuse in Urban Areas,” </w:t>
      </w:r>
      <w:r w:rsidRPr="000D0256">
        <w:rPr>
          <w:rFonts w:ascii="Garamond" w:hAnsi="Garamond" w:cs="Times New Roman"/>
          <w:i/>
          <w:iCs/>
          <w:noProof/>
          <w:sz w:val="24"/>
        </w:rPr>
        <w:t>Springer Water</w:t>
      </w:r>
      <w:r w:rsidRPr="000D0256">
        <w:rPr>
          <w:rFonts w:ascii="Garamond" w:hAnsi="Garamond" w:cs="Times New Roman"/>
          <w:noProof/>
          <w:sz w:val="24"/>
        </w:rPr>
        <w:t>, pp. 195–217, 2020, doi: 10.1007/978-3-030-18359-2_8.</w:t>
      </w:r>
    </w:p>
    <w:p w14:paraId="5BB698FB"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[7]</w:t>
      </w:r>
      <w:r w:rsidRPr="000D0256">
        <w:rPr>
          <w:rFonts w:ascii="Garamond" w:hAnsi="Garamond" w:cs="Times New Roman"/>
          <w:noProof/>
          <w:sz w:val="24"/>
        </w:rPr>
        <w:tab/>
        <w:t xml:space="preserve">N. S. &amp; K. U. R. Shayan Ameer, Nisar Muhammad, Khan Zaib Jadoon, “A systematic literature review on potential of ablution greywater reuse: current insights, challenges, and future prospects,” </w:t>
      </w:r>
      <w:r w:rsidRPr="000D0256">
        <w:rPr>
          <w:rFonts w:ascii="Garamond" w:hAnsi="Garamond" w:cs="Times New Roman"/>
          <w:i/>
          <w:iCs/>
          <w:noProof/>
          <w:sz w:val="24"/>
        </w:rPr>
        <w:t>Appl. Water Sci.</w:t>
      </w:r>
      <w:r w:rsidRPr="000D0256">
        <w:rPr>
          <w:rFonts w:ascii="Garamond" w:hAnsi="Garamond" w:cs="Times New Roman"/>
          <w:noProof/>
          <w:sz w:val="24"/>
        </w:rPr>
        <w:t>, vol. 15, no. 173, 2025, doi: https://doi.org/10.1007/s13201-025-02488-0.</w:t>
      </w:r>
    </w:p>
    <w:p w14:paraId="0717BC5E"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[8]</w:t>
      </w:r>
      <w:r w:rsidRPr="000D0256">
        <w:rPr>
          <w:rFonts w:ascii="Garamond" w:hAnsi="Garamond" w:cs="Times New Roman"/>
          <w:noProof/>
          <w:sz w:val="24"/>
        </w:rPr>
        <w:tab/>
        <w:t>R. DeFries and K. N. Eshleman, “Land</w:t>
      </w:r>
      <w:r w:rsidRPr="000D0256">
        <w:rPr>
          <w:rFonts w:ascii="Cambria Math" w:hAnsi="Cambria Math" w:cs="Cambria Math"/>
          <w:noProof/>
          <w:sz w:val="24"/>
        </w:rPr>
        <w:t>‐</w:t>
      </w:r>
      <w:r w:rsidRPr="000D0256">
        <w:rPr>
          <w:rFonts w:ascii="Garamond" w:hAnsi="Garamond" w:cs="Times New Roman"/>
          <w:noProof/>
          <w:sz w:val="24"/>
        </w:rPr>
        <w:t xml:space="preserve">use change and hydrologic processes: a major focus for the future,” </w:t>
      </w:r>
      <w:r w:rsidRPr="000D0256">
        <w:rPr>
          <w:rFonts w:ascii="Garamond" w:hAnsi="Garamond" w:cs="Times New Roman"/>
          <w:i/>
          <w:iCs/>
          <w:noProof/>
          <w:sz w:val="24"/>
        </w:rPr>
        <w:t>Hydrol. Process.</w:t>
      </w:r>
      <w:r w:rsidRPr="000D0256">
        <w:rPr>
          <w:rFonts w:ascii="Garamond" w:hAnsi="Garamond" w:cs="Times New Roman"/>
          <w:noProof/>
          <w:sz w:val="24"/>
        </w:rPr>
        <w:t>, vol. 18, no. 11, pp. 2183–2186, Aug. 2004, doi: 10.1002/HYP.5584.</w:t>
      </w:r>
    </w:p>
    <w:p w14:paraId="34A20AD6"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[9]</w:t>
      </w:r>
      <w:r w:rsidRPr="000D0256">
        <w:rPr>
          <w:rFonts w:ascii="Garamond" w:hAnsi="Garamond" w:cs="Times New Roman"/>
          <w:noProof/>
          <w:sz w:val="24"/>
        </w:rPr>
        <w:tab/>
        <w:t xml:space="preserve">M. U. S. Saimar Pervez, Laiba Ahmed, Adeel Asif, Khawaja Zawar Ahmed, Kamran Manzoor, Babar Abbas, “Development and Application of Low-Cost Filtration System for the Treatment of Greywater of a Mosque,” </w:t>
      </w:r>
      <w:r w:rsidRPr="000D0256">
        <w:rPr>
          <w:rFonts w:ascii="Garamond" w:hAnsi="Garamond" w:cs="Times New Roman"/>
          <w:i/>
          <w:iCs/>
          <w:noProof/>
          <w:sz w:val="24"/>
        </w:rPr>
        <w:t>Tech. J. , UET Taxila</w:t>
      </w:r>
      <w:r w:rsidRPr="000D0256">
        <w:rPr>
          <w:rFonts w:ascii="Garamond" w:hAnsi="Garamond" w:cs="Times New Roman"/>
          <w:noProof/>
          <w:sz w:val="24"/>
        </w:rPr>
        <w:t>, vol. 3, 2024, [Online]. Available: https://tj.uettaxila.edu.pk/index.php/technical-journal/article/view/2066</w:t>
      </w:r>
    </w:p>
    <w:p w14:paraId="47867F6B"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[10]</w:t>
      </w:r>
      <w:r w:rsidRPr="000D0256">
        <w:rPr>
          <w:rFonts w:ascii="Garamond" w:hAnsi="Garamond" w:cs="Times New Roman"/>
          <w:noProof/>
          <w:sz w:val="24"/>
        </w:rPr>
        <w:tab/>
        <w:t xml:space="preserve">S. L. Shen, H. M. Lyu, A. Zhou, L. H. Lu, G. Li, and B. B. Hu, “Automatic control of groundwater balance to combat dewatering during construction of a metro system,” </w:t>
      </w:r>
      <w:r w:rsidRPr="000D0256">
        <w:rPr>
          <w:rFonts w:ascii="Garamond" w:hAnsi="Garamond" w:cs="Times New Roman"/>
          <w:i/>
          <w:iCs/>
          <w:noProof/>
          <w:sz w:val="24"/>
        </w:rPr>
        <w:t>Autom. Constr.</w:t>
      </w:r>
      <w:r w:rsidRPr="000D0256">
        <w:rPr>
          <w:rFonts w:ascii="Garamond" w:hAnsi="Garamond" w:cs="Times New Roman"/>
          <w:noProof/>
          <w:sz w:val="24"/>
        </w:rPr>
        <w:t>, vol. 123, Mar. 2021, doi: 10.1016/J.AUTCON.2020.103536.</w:t>
      </w:r>
    </w:p>
    <w:p w14:paraId="0DD3173F"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[11]</w:t>
      </w:r>
      <w:r w:rsidRPr="000D0256">
        <w:rPr>
          <w:rFonts w:ascii="Garamond" w:hAnsi="Garamond" w:cs="Times New Roman"/>
          <w:noProof/>
          <w:sz w:val="24"/>
        </w:rPr>
        <w:tab/>
        <w:t xml:space="preserve">R. M. S. Radin Mohamed, A. Al-Gheethi, J. A. Rahman, A. H. Mohd Kassim, and S. Musa, “Reuse of Ablution Water to Improve Peat Soil Characteristics for Ornamental Landscape Plants Cultivation,” </w:t>
      </w:r>
      <w:r w:rsidRPr="000D0256">
        <w:rPr>
          <w:rFonts w:ascii="Garamond" w:hAnsi="Garamond" w:cs="Times New Roman"/>
          <w:i/>
          <w:iCs/>
          <w:noProof/>
          <w:sz w:val="24"/>
        </w:rPr>
        <w:t>MATEC Web Conf.</w:t>
      </w:r>
      <w:r w:rsidRPr="000D0256">
        <w:rPr>
          <w:rFonts w:ascii="Garamond" w:hAnsi="Garamond" w:cs="Times New Roman"/>
          <w:noProof/>
          <w:sz w:val="24"/>
        </w:rPr>
        <w:t>, vol. 103, Apr. 2017, doi: 10.1051/MATECCONF/201710305003.</w:t>
      </w:r>
    </w:p>
    <w:p w14:paraId="762F8A86"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[12]</w:t>
      </w:r>
      <w:r w:rsidRPr="000D0256">
        <w:rPr>
          <w:rFonts w:ascii="Garamond" w:hAnsi="Garamond" w:cs="Times New Roman"/>
          <w:noProof/>
          <w:sz w:val="24"/>
        </w:rPr>
        <w:tab/>
        <w:t xml:space="preserve">M. Abbas, P. G. Atangana Njock, and Y. Wang, “Influence of Climate Change and Land-Use Alteration on Water Resources in Multan, Pakistan,” </w:t>
      </w:r>
      <w:r w:rsidRPr="000D0256">
        <w:rPr>
          <w:rFonts w:ascii="Garamond" w:hAnsi="Garamond" w:cs="Times New Roman"/>
          <w:i/>
          <w:iCs/>
          <w:noProof/>
          <w:sz w:val="24"/>
        </w:rPr>
        <w:t>Appl. Sci. 2022, Vol. 12, Page 5210</w:t>
      </w:r>
      <w:r w:rsidRPr="000D0256">
        <w:rPr>
          <w:rFonts w:ascii="Garamond" w:hAnsi="Garamond" w:cs="Times New Roman"/>
          <w:noProof/>
          <w:sz w:val="24"/>
        </w:rPr>
        <w:t>, vol. 12, no. 10, p. 5210, May 2022, doi: 10.3390/APP12105210.</w:t>
      </w:r>
    </w:p>
    <w:p w14:paraId="18E23131"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[13]</w:t>
      </w:r>
      <w:r w:rsidRPr="000D0256">
        <w:rPr>
          <w:rFonts w:ascii="Garamond" w:hAnsi="Garamond" w:cs="Times New Roman"/>
          <w:noProof/>
          <w:sz w:val="24"/>
        </w:rPr>
        <w:tab/>
        <w:t xml:space="preserve">Nazish Huma Khan, Mohammad Nafees, Tooba Saeed, Fazli Zuljajal, “Marble Production and Environmental Pressure: A Case Study of Hayatabad Industrial Estate Peshawar, Pakistan,” </w:t>
      </w:r>
      <w:r w:rsidRPr="000D0256">
        <w:rPr>
          <w:rFonts w:ascii="Garamond" w:hAnsi="Garamond" w:cs="Times New Roman"/>
          <w:i/>
          <w:iCs/>
          <w:noProof/>
          <w:sz w:val="24"/>
        </w:rPr>
        <w:t>Res. Sq.</w:t>
      </w:r>
      <w:r w:rsidRPr="000D0256">
        <w:rPr>
          <w:rFonts w:ascii="Garamond" w:hAnsi="Garamond" w:cs="Times New Roman"/>
          <w:noProof/>
          <w:sz w:val="24"/>
        </w:rPr>
        <w:t>, 2023, [Online]. Available: https://www.researchsquare.com/article/rs-3244303/v1</w:t>
      </w:r>
    </w:p>
    <w:p w14:paraId="3885D7AE"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[14]</w:t>
      </w:r>
      <w:r w:rsidRPr="000D0256">
        <w:rPr>
          <w:rFonts w:ascii="Garamond" w:hAnsi="Garamond" w:cs="Times New Roman"/>
          <w:noProof/>
          <w:sz w:val="24"/>
        </w:rPr>
        <w:tab/>
        <w:t xml:space="preserve">Z. W. Kundzewicz, V. Krysanova, R. E. Benestad, Hov, M. Piniewski, and I. M. Otto, “Uncertainty in climate change impacts on water resources,” </w:t>
      </w:r>
      <w:r w:rsidRPr="000D0256">
        <w:rPr>
          <w:rFonts w:ascii="Garamond" w:hAnsi="Garamond" w:cs="Times New Roman"/>
          <w:i/>
          <w:iCs/>
          <w:noProof/>
          <w:sz w:val="24"/>
        </w:rPr>
        <w:t>Environ. Sci. Policy</w:t>
      </w:r>
      <w:r w:rsidRPr="000D0256">
        <w:rPr>
          <w:rFonts w:ascii="Garamond" w:hAnsi="Garamond" w:cs="Times New Roman"/>
          <w:noProof/>
          <w:sz w:val="24"/>
        </w:rPr>
        <w:t>, vol. 79, pp. 1–8, Jan. 2018, doi: 10.1016/J.ENVSCI.2017.10.008.</w:t>
      </w:r>
    </w:p>
    <w:p w14:paraId="01AFEE81"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[15]</w:t>
      </w:r>
      <w:r w:rsidRPr="000D0256">
        <w:rPr>
          <w:rFonts w:ascii="Garamond" w:hAnsi="Garamond" w:cs="Times New Roman"/>
          <w:noProof/>
          <w:sz w:val="24"/>
        </w:rPr>
        <w:tab/>
        <w:t xml:space="preserve">H. M. Lyu, S. L. Shen, Y. X. Wu, and A. N. Zhou, “Calculation of groundwater head distribution with a close barrier during excavation dewatering in confined aquifer,” </w:t>
      </w:r>
      <w:r w:rsidRPr="000D0256">
        <w:rPr>
          <w:rFonts w:ascii="Garamond" w:hAnsi="Garamond" w:cs="Times New Roman"/>
          <w:i/>
          <w:iCs/>
          <w:noProof/>
          <w:sz w:val="24"/>
        </w:rPr>
        <w:t>Geosci. Front.</w:t>
      </w:r>
      <w:r w:rsidRPr="000D0256">
        <w:rPr>
          <w:rFonts w:ascii="Garamond" w:hAnsi="Garamond" w:cs="Times New Roman"/>
          <w:noProof/>
          <w:sz w:val="24"/>
        </w:rPr>
        <w:t>, vol. 12, no. 2, pp. 791–803, Mar. 2021, doi: 10.1016/J.GSF.2020.08.002.</w:t>
      </w:r>
    </w:p>
    <w:p w14:paraId="555D787E" w14:textId="77777777" w:rsidR="000D0256" w:rsidRPr="000D0256" w:rsidRDefault="000D0256" w:rsidP="000D0256">
      <w:pPr>
        <w:widowControl w:val="0"/>
        <w:autoSpaceDE w:val="0"/>
        <w:autoSpaceDN w:val="0"/>
        <w:adjustRightInd w:val="0"/>
        <w:spacing w:after="0" w:line="240" w:lineRule="auto"/>
        <w:ind w:left="640" w:hanging="640"/>
        <w:rPr>
          <w:rFonts w:ascii="Garamond" w:hAnsi="Garamond" w:cs="Times New Roman"/>
          <w:noProof/>
          <w:sz w:val="24"/>
        </w:rPr>
      </w:pPr>
      <w:r w:rsidRPr="000D0256">
        <w:rPr>
          <w:rFonts w:ascii="Garamond" w:hAnsi="Garamond" w:cs="Times New Roman"/>
          <w:noProof/>
          <w:sz w:val="24"/>
        </w:rPr>
        <w:t>[16]</w:t>
      </w:r>
      <w:r w:rsidRPr="000D0256">
        <w:rPr>
          <w:rFonts w:ascii="Garamond" w:hAnsi="Garamond" w:cs="Times New Roman"/>
          <w:noProof/>
          <w:sz w:val="24"/>
        </w:rPr>
        <w:tab/>
        <w:t xml:space="preserve">G. E. Moglen and G. E. Rios Vidal, “Climate Change and Storm Water Infrastructure </w:t>
      </w:r>
      <w:r w:rsidRPr="000D0256">
        <w:rPr>
          <w:rFonts w:ascii="Garamond" w:hAnsi="Garamond" w:cs="Times New Roman"/>
          <w:noProof/>
          <w:sz w:val="24"/>
        </w:rPr>
        <w:lastRenderedPageBreak/>
        <w:t xml:space="preserve">in the Mid-Atlantic Region: Design Mismatch Coming?,” </w:t>
      </w:r>
      <w:r w:rsidRPr="000D0256">
        <w:rPr>
          <w:rFonts w:ascii="Garamond" w:hAnsi="Garamond" w:cs="Times New Roman"/>
          <w:i/>
          <w:iCs/>
          <w:noProof/>
          <w:sz w:val="24"/>
        </w:rPr>
        <w:t>J. Hydrol. Eng.</w:t>
      </w:r>
      <w:r w:rsidRPr="000D0256">
        <w:rPr>
          <w:rFonts w:ascii="Garamond" w:hAnsi="Garamond" w:cs="Times New Roman"/>
          <w:noProof/>
          <w:sz w:val="24"/>
        </w:rPr>
        <w:t>, vol. 19, no. 11, Nov. 2014, doi: 10.1061/(ASCE)HE.1943-5584.0000967.</w:t>
      </w:r>
    </w:p>
    <w:p w14:paraId="23FF6DDB" w14:textId="195E973B" w:rsidR="00657D70" w:rsidRPr="000101FA" w:rsidRDefault="000D0256" w:rsidP="006D68DA">
      <w:pPr>
        <w:widowControl w:val="0"/>
        <w:autoSpaceDE w:val="0"/>
        <w:autoSpaceDN w:val="0"/>
        <w:adjustRightInd w:val="0"/>
        <w:spacing w:after="0" w:line="240" w:lineRule="auto"/>
        <w:ind w:left="640" w:hanging="640"/>
        <w:rPr>
          <w:rFonts w:ascii="Garamond" w:eastAsia="Garamond" w:hAnsi="Garamond" w:cs="Garamond"/>
          <w:color w:val="000000" w:themeColor="text1"/>
          <w:sz w:val="24"/>
          <w:szCs w:val="24"/>
        </w:rPr>
      </w:pPr>
      <w:r w:rsidRPr="000D0256">
        <w:rPr>
          <w:rFonts w:ascii="Garamond" w:hAnsi="Garamond" w:cs="Times New Roman"/>
          <w:noProof/>
          <w:sz w:val="24"/>
        </w:rPr>
        <w:t>[17]</w:t>
      </w:r>
      <w:r w:rsidRPr="000D0256">
        <w:rPr>
          <w:rFonts w:ascii="Garamond" w:hAnsi="Garamond" w:cs="Times New Roman"/>
          <w:noProof/>
          <w:sz w:val="24"/>
        </w:rPr>
        <w:tab/>
        <w:t xml:space="preserve">Roubi Zaied, “Water use and time analysis in ablution from taps,” </w:t>
      </w:r>
      <w:r w:rsidRPr="000D0256">
        <w:rPr>
          <w:rFonts w:ascii="Garamond" w:hAnsi="Garamond" w:cs="Times New Roman"/>
          <w:i/>
          <w:iCs/>
          <w:noProof/>
          <w:sz w:val="24"/>
        </w:rPr>
        <w:t>Appl. Water Sci.</w:t>
      </w:r>
      <w:r w:rsidRPr="000D0256">
        <w:rPr>
          <w:rFonts w:ascii="Garamond" w:hAnsi="Garamond" w:cs="Times New Roman"/>
          <w:noProof/>
          <w:sz w:val="24"/>
        </w:rPr>
        <w:t>, 2016, [Online]. Available: https://www.academia.edu/75178414/Water_use_and_time_analysis_in_ablution_from_taps</w:t>
      </w:r>
      <w:r w:rsidR="00823128">
        <w:rPr>
          <w:rFonts w:ascii="Garamond" w:eastAsia="Garamond" w:hAnsi="Garamond" w:cs="Garamond"/>
          <w:color w:val="000000" w:themeColor="text1"/>
          <w:sz w:val="24"/>
          <w:szCs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6670"/>
      </w:tblGrid>
      <w:tr w:rsidR="00D54C09" w:rsidRPr="000101FA" w14:paraId="278B72BF" w14:textId="77777777" w:rsidTr="6F90D69E">
        <w:tc>
          <w:tcPr>
            <w:tcW w:w="1960" w:type="dxa"/>
          </w:tcPr>
          <w:p w14:paraId="2EF46B34" w14:textId="77777777" w:rsidR="00F15C29" w:rsidRPr="000101FA" w:rsidRDefault="00F15C29" w:rsidP="6F90D69E">
            <w:pPr>
              <w:jc w:val="both"/>
              <w:rPr>
                <w:rFonts w:ascii="Garamond" w:eastAsia="Garamond" w:hAnsi="Garamond" w:cs="Garamond"/>
                <w:color w:val="000000" w:themeColor="text1"/>
                <w:sz w:val="24"/>
                <w:szCs w:val="24"/>
              </w:rPr>
            </w:pPr>
            <w:bookmarkStart w:id="3" w:name="_Hlk120457989"/>
            <w:r w:rsidRPr="000101FA">
              <w:rPr>
                <w:rFonts w:ascii="Garamond" w:hAnsi="Garamond"/>
                <w:noProof/>
                <w:color w:val="000000" w:themeColor="text1"/>
                <w:sz w:val="24"/>
                <w:szCs w:val="24"/>
              </w:rPr>
              <w:drawing>
                <wp:inline distT="0" distB="0" distL="0" distR="0" wp14:anchorId="4B6D5576" wp14:editId="18E0EE28">
                  <wp:extent cx="1104900" cy="390525"/>
                  <wp:effectExtent l="0" t="0" r="0" b="9525"/>
                  <wp:docPr id="31" name="Picture 31" descr="Image result for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4900" cy="390525"/>
                          </a:xfrm>
                          <a:prstGeom prst="rect">
                            <a:avLst/>
                          </a:prstGeom>
                        </pic:spPr>
                      </pic:pic>
                    </a:graphicData>
                  </a:graphic>
                </wp:inline>
              </w:drawing>
            </w:r>
          </w:p>
        </w:tc>
        <w:tc>
          <w:tcPr>
            <w:tcW w:w="6670" w:type="dxa"/>
          </w:tcPr>
          <w:p w14:paraId="71C18154" w14:textId="77777777" w:rsidR="00F15C29" w:rsidRPr="000101FA" w:rsidRDefault="6F90D69E" w:rsidP="6F90D69E">
            <w:pPr>
              <w:jc w:val="both"/>
              <w:rPr>
                <w:rFonts w:ascii="Garamond" w:eastAsia="Garamond" w:hAnsi="Garamond" w:cs="Garamond"/>
                <w:color w:val="000000" w:themeColor="text1"/>
                <w:sz w:val="24"/>
                <w:szCs w:val="24"/>
              </w:rPr>
            </w:pPr>
            <w:r w:rsidRPr="000101FA">
              <w:rPr>
                <w:rFonts w:ascii="Garamond" w:eastAsia="Garamond" w:hAnsi="Garamond" w:cs="Garamond"/>
                <w:color w:val="000000" w:themeColor="text1"/>
                <w:sz w:val="24"/>
                <w:szCs w:val="24"/>
              </w:rPr>
              <w:t xml:space="preserve">Copyright © by authors and 50Sea. This work is licensed under Creative Commons Attribution 4.0 International License. </w:t>
            </w:r>
          </w:p>
        </w:tc>
      </w:tr>
      <w:bookmarkEnd w:id="3"/>
    </w:tbl>
    <w:p w14:paraId="06DE5B30" w14:textId="3A6545EB" w:rsidR="004E25B0" w:rsidRPr="000101FA" w:rsidRDefault="004E25B0" w:rsidP="004E25B0">
      <w:pPr>
        <w:tabs>
          <w:tab w:val="left" w:pos="7005"/>
        </w:tabs>
        <w:rPr>
          <w:rFonts w:ascii="Garamond" w:eastAsia="Garamond" w:hAnsi="Garamond" w:cs="Garamond"/>
          <w:sz w:val="24"/>
          <w:szCs w:val="24"/>
        </w:rPr>
      </w:pPr>
    </w:p>
    <w:sectPr w:rsidR="004E25B0" w:rsidRPr="000101FA" w:rsidSect="00C01B70">
      <w:pgSz w:w="10800" w:h="14400"/>
      <w:pgMar w:top="0" w:right="720" w:bottom="274" w:left="1440" w:header="0" w:footer="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8F823" w14:textId="77777777" w:rsidR="00230192" w:rsidRDefault="00230192" w:rsidP="00DF2A64">
      <w:pPr>
        <w:spacing w:after="0" w:line="240" w:lineRule="auto"/>
      </w:pPr>
      <w:r>
        <w:separator/>
      </w:r>
    </w:p>
  </w:endnote>
  <w:endnote w:type="continuationSeparator" w:id="0">
    <w:p w14:paraId="09438F87" w14:textId="77777777" w:rsidR="00230192" w:rsidRDefault="00230192" w:rsidP="00DF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MT">
    <w:altName w:val="Arial"/>
    <w:charset w:val="01"/>
    <w:family w:val="swiss"/>
    <w:pitch w:val="variable"/>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75305559"/>
      <w:docPartObj>
        <w:docPartGallery w:val="Page Numbers (Bottom of Page)"/>
        <w:docPartUnique/>
      </w:docPartObj>
    </w:sdtPr>
    <w:sdtEndPr>
      <w:rPr>
        <w:noProof/>
      </w:rPr>
    </w:sdtEndPr>
    <w:sdtContent>
      <w:p w14:paraId="742AEA60" w14:textId="1863DD8C" w:rsidR="00F6278A" w:rsidRPr="00186E63" w:rsidRDefault="00D36B80" w:rsidP="00186E63">
        <w:pPr>
          <w:pStyle w:val="Footer"/>
          <w:pBdr>
            <w:top w:val="single" w:sz="4" w:space="1" w:color="auto"/>
          </w:pBdr>
          <w:jc w:val="center"/>
          <w:rPr>
            <w:noProof/>
            <w:sz w:val="24"/>
            <w:szCs w:val="24"/>
          </w:rPr>
        </w:pPr>
        <w:r>
          <w:rPr>
            <w:rFonts w:ascii="Garamond" w:hAnsi="Garamond"/>
            <w:w w:val="110"/>
            <w:sz w:val="24"/>
            <w:szCs w:val="24"/>
          </w:rPr>
          <w:t>July</w:t>
        </w:r>
        <w:r w:rsidR="00D00196" w:rsidRPr="00186E63">
          <w:rPr>
            <w:rFonts w:ascii="Garamond" w:hAnsi="Garamond"/>
            <w:w w:val="110"/>
            <w:sz w:val="24"/>
            <w:szCs w:val="24"/>
          </w:rPr>
          <w:t xml:space="preserve"> 202</w:t>
        </w:r>
        <w:r>
          <w:rPr>
            <w:rFonts w:ascii="Garamond" w:hAnsi="Garamond"/>
            <w:w w:val="110"/>
            <w:sz w:val="24"/>
            <w:szCs w:val="24"/>
          </w:rPr>
          <w:t>5</w:t>
        </w:r>
        <w:r w:rsidR="00D00196" w:rsidRPr="00186E63">
          <w:rPr>
            <w:rFonts w:ascii="Garamond" w:hAnsi="Garamond"/>
            <w:w w:val="205"/>
            <w:sz w:val="24"/>
            <w:szCs w:val="24"/>
          </w:rPr>
          <w:t>|</w:t>
        </w:r>
        <w:r w:rsidR="00D00196" w:rsidRPr="00186E63">
          <w:rPr>
            <w:rFonts w:ascii="Garamond" w:hAnsi="Garamond"/>
            <w:w w:val="110"/>
            <w:sz w:val="24"/>
            <w:szCs w:val="24"/>
          </w:rPr>
          <w:t xml:space="preserve">Vol </w:t>
        </w:r>
        <w:r>
          <w:rPr>
            <w:rFonts w:ascii="Garamond" w:hAnsi="Garamond"/>
            <w:w w:val="110"/>
            <w:sz w:val="24"/>
            <w:szCs w:val="24"/>
          </w:rPr>
          <w:t>07</w:t>
        </w:r>
        <w:r w:rsidR="004E25B0" w:rsidRPr="00186E63">
          <w:rPr>
            <w:rFonts w:ascii="Garamond" w:hAnsi="Garamond"/>
            <w:w w:val="110"/>
            <w:sz w:val="24"/>
            <w:szCs w:val="24"/>
          </w:rPr>
          <w:t xml:space="preserve"> </w:t>
        </w:r>
        <w:r w:rsidR="004E25B0" w:rsidRPr="00186E63">
          <w:rPr>
            <w:rFonts w:ascii="Garamond" w:hAnsi="Garamond"/>
            <w:w w:val="205"/>
            <w:sz w:val="24"/>
            <w:szCs w:val="24"/>
          </w:rPr>
          <w:t>|</w:t>
        </w:r>
        <w:r w:rsidR="0031151F" w:rsidRPr="00186E63">
          <w:rPr>
            <w:rFonts w:ascii="Garamond" w:hAnsi="Garamond"/>
            <w:w w:val="110"/>
            <w:sz w:val="24"/>
            <w:szCs w:val="24"/>
          </w:rPr>
          <w:t xml:space="preserve"> </w:t>
        </w:r>
        <w:r w:rsidR="00D00196" w:rsidRPr="00186E63">
          <w:rPr>
            <w:rFonts w:ascii="Garamond" w:hAnsi="Garamond"/>
            <w:w w:val="110"/>
            <w:sz w:val="24"/>
            <w:szCs w:val="24"/>
          </w:rPr>
          <w:t xml:space="preserve">Issue </w:t>
        </w:r>
        <w:r>
          <w:rPr>
            <w:rFonts w:ascii="Garamond" w:hAnsi="Garamond"/>
            <w:w w:val="110"/>
            <w:sz w:val="24"/>
            <w:szCs w:val="24"/>
          </w:rPr>
          <w:t>03</w:t>
        </w:r>
        <w:r w:rsidR="0007689F" w:rsidRPr="00186E63">
          <w:rPr>
            <w:rFonts w:ascii="Garamond" w:hAnsi="Garamond"/>
            <w:w w:val="110"/>
            <w:sz w:val="24"/>
            <w:szCs w:val="24"/>
          </w:rPr>
          <w:t xml:space="preserve">        </w:t>
        </w:r>
        <w:r w:rsidR="00D00196" w:rsidRPr="00186E63">
          <w:rPr>
            <w:rFonts w:ascii="Garamond" w:hAnsi="Garamond"/>
            <w:w w:val="110"/>
            <w:sz w:val="24"/>
            <w:szCs w:val="24"/>
          </w:rPr>
          <w:t xml:space="preserve">                   </w:t>
        </w:r>
        <w:r w:rsidR="00BE68C6">
          <w:rPr>
            <w:rFonts w:ascii="Garamond" w:hAnsi="Garamond"/>
            <w:w w:val="110"/>
            <w:sz w:val="24"/>
            <w:szCs w:val="24"/>
          </w:rPr>
          <w:t xml:space="preserve">   </w:t>
        </w:r>
        <w:r w:rsidR="00D00196" w:rsidRPr="00186E63">
          <w:rPr>
            <w:rFonts w:ascii="Garamond" w:hAnsi="Garamond"/>
            <w:w w:val="110"/>
            <w:sz w:val="24"/>
            <w:szCs w:val="24"/>
          </w:rPr>
          <w:t xml:space="preserve">                  </w:t>
        </w:r>
        <w:r w:rsidR="00315866" w:rsidRPr="00186E63">
          <w:rPr>
            <w:rFonts w:ascii="Garamond" w:hAnsi="Garamond"/>
            <w:w w:val="110"/>
            <w:sz w:val="24"/>
            <w:szCs w:val="24"/>
          </w:rPr>
          <w:t xml:space="preserve">      </w:t>
        </w:r>
        <w:r w:rsidR="00D00196" w:rsidRPr="00186E63">
          <w:rPr>
            <w:rFonts w:ascii="Garamond" w:hAnsi="Garamond"/>
            <w:w w:val="110"/>
            <w:sz w:val="24"/>
            <w:szCs w:val="24"/>
          </w:rPr>
          <w:t xml:space="preserve">           </w:t>
        </w:r>
        <w:r w:rsidR="00D00196" w:rsidRPr="00186E63">
          <w:rPr>
            <w:rFonts w:ascii="Garamond" w:hAnsi="Garamond"/>
            <w:w w:val="105"/>
            <w:sz w:val="24"/>
            <w:szCs w:val="24"/>
          </w:rPr>
          <w:t xml:space="preserve">Page </w:t>
        </w:r>
        <w:r w:rsidR="00D00196" w:rsidRPr="00186E63">
          <w:rPr>
            <w:rFonts w:ascii="Garamond" w:hAnsi="Garamond"/>
            <w:w w:val="220"/>
            <w:sz w:val="24"/>
            <w:szCs w:val="24"/>
          </w:rPr>
          <w:t>|</w:t>
        </w:r>
        <w:r w:rsidR="00D00196" w:rsidRPr="00186E63">
          <w:rPr>
            <w:rFonts w:ascii="Garamond" w:hAnsi="Garamond"/>
            <w:sz w:val="24"/>
            <w:szCs w:val="24"/>
          </w:rPr>
          <w:fldChar w:fldCharType="begin"/>
        </w:r>
        <w:r w:rsidR="00D00196" w:rsidRPr="00186E63">
          <w:rPr>
            <w:rFonts w:ascii="Garamond" w:hAnsi="Garamond"/>
            <w:sz w:val="24"/>
            <w:szCs w:val="24"/>
          </w:rPr>
          <w:instrText xml:space="preserve"> PAGE   \* MERGEFORMAT </w:instrText>
        </w:r>
        <w:r w:rsidR="00D00196" w:rsidRPr="00186E63">
          <w:rPr>
            <w:rFonts w:ascii="Garamond" w:hAnsi="Garamond"/>
            <w:sz w:val="24"/>
            <w:szCs w:val="24"/>
          </w:rPr>
          <w:fldChar w:fldCharType="separate"/>
        </w:r>
        <w:r w:rsidR="00E93217" w:rsidRPr="00186E63">
          <w:rPr>
            <w:rFonts w:ascii="Garamond" w:hAnsi="Garamond"/>
            <w:noProof/>
            <w:sz w:val="24"/>
            <w:szCs w:val="24"/>
          </w:rPr>
          <w:t>33</w:t>
        </w:r>
        <w:r w:rsidR="00D00196" w:rsidRPr="00186E63">
          <w:rPr>
            <w:rFonts w:ascii="Garamond" w:hAnsi="Garamond"/>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E7AA2" w14:textId="77777777" w:rsidR="00230192" w:rsidRDefault="00230192" w:rsidP="00DF2A64">
      <w:pPr>
        <w:spacing w:after="0" w:line="240" w:lineRule="auto"/>
      </w:pPr>
      <w:r>
        <w:separator/>
      </w:r>
    </w:p>
  </w:footnote>
  <w:footnote w:type="continuationSeparator" w:id="0">
    <w:p w14:paraId="6FC0142A" w14:textId="77777777" w:rsidR="00230192" w:rsidRDefault="00230192" w:rsidP="00DF2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2AC3" w14:textId="41CEEF50" w:rsidR="00F6278A" w:rsidRPr="0031151F" w:rsidRDefault="00AC4527" w:rsidP="00BE68C6">
    <w:pPr>
      <w:pStyle w:val="BodyText"/>
      <w:pBdr>
        <w:bottom w:val="single" w:sz="4" w:space="1" w:color="auto"/>
      </w:pBdr>
      <w:ind w:left="20"/>
      <w:jc w:val="both"/>
      <w:rPr>
        <w:rFonts w:ascii="Garamond" w:hAnsi="Garamond"/>
        <w:color w:val="00B050"/>
      </w:rPr>
    </w:pPr>
    <w:r w:rsidRPr="0031151F">
      <w:rPr>
        <w:rFonts w:ascii="Garamond" w:hAnsi="Garamond"/>
        <w:noProof/>
      </w:rPr>
      <w:drawing>
        <wp:inline distT="0" distB="0" distL="0" distR="0" wp14:anchorId="07654DEE" wp14:editId="546B4541">
          <wp:extent cx="657225" cy="238125"/>
          <wp:effectExtent l="0" t="0" r="9525" b="9525"/>
          <wp:docPr id="471349750" name="Picture 47134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1151F">
      <w:rPr>
        <w:rFonts w:ascii="Garamond" w:hAnsi="Garamond"/>
        <w:color w:val="00B050"/>
      </w:rPr>
      <w:t xml:space="preserve">                    </w:t>
    </w:r>
    <w:r w:rsidR="000101FA">
      <w:rPr>
        <w:rFonts w:ascii="Garamond" w:hAnsi="Garamond"/>
        <w:color w:val="00B050"/>
      </w:rPr>
      <w:t xml:space="preserve">   </w:t>
    </w:r>
    <w:r w:rsidRPr="0031151F">
      <w:rPr>
        <w:rFonts w:ascii="Garamond" w:hAnsi="Garamond"/>
        <w:color w:val="00B050"/>
      </w:rPr>
      <w:t xml:space="preserve">  </w:t>
    </w:r>
    <w:r w:rsidR="00140AC8" w:rsidRPr="0031151F">
      <w:rPr>
        <w:rFonts w:ascii="Garamond" w:hAnsi="Garamond"/>
        <w:color w:val="00B050"/>
      </w:rPr>
      <w:t xml:space="preserve">     </w:t>
    </w:r>
    <w:r w:rsidRPr="0031151F">
      <w:rPr>
        <w:rFonts w:ascii="Garamond" w:hAnsi="Garamond"/>
        <w:color w:val="00B050"/>
      </w:rPr>
      <w:t xml:space="preserve">   </w:t>
    </w:r>
    <w:bookmarkStart w:id="1" w:name="_Hlk138425995"/>
    <w:r w:rsidR="00C07C2D" w:rsidRPr="0031151F">
      <w:rPr>
        <w:rFonts w:ascii="Garamond" w:hAnsi="Garamond"/>
        <w:color w:val="FF0000"/>
      </w:rPr>
      <w:t>International Journal of Innovations in Science &amp; Technology</w: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4487F"/>
    <w:multiLevelType w:val="multilevel"/>
    <w:tmpl w:val="D2D00C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6C4694"/>
    <w:multiLevelType w:val="multilevel"/>
    <w:tmpl w:val="F64E9F9E"/>
    <w:lvl w:ilvl="0">
      <w:start w:val="4"/>
      <w:numFmt w:val="decimal"/>
      <w:lvlText w:val="%1"/>
      <w:lvlJc w:val="left"/>
      <w:pPr>
        <w:ind w:left="1220" w:hanging="480"/>
      </w:pPr>
      <w:rPr>
        <w:rFonts w:hint="default"/>
        <w:lang w:val="en-US" w:eastAsia="en-US" w:bidi="ar-SA"/>
      </w:rPr>
    </w:lvl>
    <w:lvl w:ilvl="1">
      <w:start w:val="1"/>
      <w:numFmt w:val="decimal"/>
      <w:lvlText w:val="%1.%2"/>
      <w:lvlJc w:val="left"/>
      <w:pPr>
        <w:ind w:left="1220" w:hanging="480"/>
      </w:pPr>
      <w:rPr>
        <w:rFonts w:ascii="Times New Roman" w:eastAsia="Times New Roman" w:hAnsi="Times New Roman" w:cs="Times New Roman" w:hint="default"/>
        <w:b/>
        <w:bCs/>
        <w:i w:val="0"/>
        <w:iCs w:val="0"/>
        <w:spacing w:val="0"/>
        <w:w w:val="99"/>
        <w:sz w:val="32"/>
        <w:szCs w:val="32"/>
        <w:lang w:val="en-US" w:eastAsia="en-US" w:bidi="ar-SA"/>
      </w:rPr>
    </w:lvl>
    <w:lvl w:ilvl="2">
      <w:start w:val="1"/>
      <w:numFmt w:val="decimal"/>
      <w:lvlText w:val="%1.%2.%3"/>
      <w:lvlJc w:val="left"/>
      <w:pPr>
        <w:ind w:left="1371" w:hanging="632"/>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46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716" w:hanging="720"/>
      </w:pPr>
      <w:rPr>
        <w:rFonts w:hint="default"/>
        <w:lang w:val="en-US" w:eastAsia="en-US" w:bidi="ar-SA"/>
      </w:rPr>
    </w:lvl>
    <w:lvl w:ilvl="5">
      <w:numFmt w:val="bullet"/>
      <w:lvlText w:val="•"/>
      <w:lvlJc w:val="left"/>
      <w:pPr>
        <w:ind w:left="4844" w:hanging="720"/>
      </w:pPr>
      <w:rPr>
        <w:rFonts w:hint="default"/>
        <w:lang w:val="en-US" w:eastAsia="en-US" w:bidi="ar-SA"/>
      </w:rPr>
    </w:lvl>
    <w:lvl w:ilvl="6">
      <w:numFmt w:val="bullet"/>
      <w:lvlText w:val="•"/>
      <w:lvlJc w:val="left"/>
      <w:pPr>
        <w:ind w:left="5973" w:hanging="720"/>
      </w:pPr>
      <w:rPr>
        <w:rFonts w:hint="default"/>
        <w:lang w:val="en-US" w:eastAsia="en-US" w:bidi="ar-SA"/>
      </w:rPr>
    </w:lvl>
    <w:lvl w:ilvl="7">
      <w:numFmt w:val="bullet"/>
      <w:lvlText w:val="•"/>
      <w:lvlJc w:val="left"/>
      <w:pPr>
        <w:ind w:left="7101" w:hanging="720"/>
      </w:pPr>
      <w:rPr>
        <w:rFonts w:hint="default"/>
        <w:lang w:val="en-US" w:eastAsia="en-US" w:bidi="ar-SA"/>
      </w:rPr>
    </w:lvl>
    <w:lvl w:ilvl="8">
      <w:numFmt w:val="bullet"/>
      <w:lvlText w:val="•"/>
      <w:lvlJc w:val="left"/>
      <w:pPr>
        <w:ind w:left="8229" w:hanging="720"/>
      </w:pPr>
      <w:rPr>
        <w:rFonts w:hint="default"/>
        <w:lang w:val="en-US" w:eastAsia="en-US" w:bidi="ar-SA"/>
      </w:rPr>
    </w:lvl>
  </w:abstractNum>
  <w:abstractNum w:abstractNumId="2" w15:restartNumberingAfterBreak="0">
    <w:nsid w:val="0DD27262"/>
    <w:multiLevelType w:val="multilevel"/>
    <w:tmpl w:val="F9720F4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A182DA5"/>
    <w:multiLevelType w:val="multilevel"/>
    <w:tmpl w:val="886291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912A35"/>
    <w:multiLevelType w:val="hybridMultilevel"/>
    <w:tmpl w:val="56E4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64C7E"/>
    <w:multiLevelType w:val="multilevel"/>
    <w:tmpl w:val="8DA8FD7C"/>
    <w:lvl w:ilvl="0">
      <w:start w:val="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7EC439A"/>
    <w:multiLevelType w:val="multilevel"/>
    <w:tmpl w:val="5AA02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D661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AF61ED"/>
    <w:multiLevelType w:val="multilevel"/>
    <w:tmpl w:val="0B983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DF2418"/>
    <w:multiLevelType w:val="hybridMultilevel"/>
    <w:tmpl w:val="4FE69246"/>
    <w:lvl w:ilvl="0" w:tplc="FA3EC18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657F19"/>
    <w:multiLevelType w:val="hybridMultilevel"/>
    <w:tmpl w:val="7AA47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BD5A6E"/>
    <w:multiLevelType w:val="hybridMultilevel"/>
    <w:tmpl w:val="F3B62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00363"/>
    <w:multiLevelType w:val="hybridMultilevel"/>
    <w:tmpl w:val="290056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04B409B"/>
    <w:multiLevelType w:val="multilevel"/>
    <w:tmpl w:val="710431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DE657E"/>
    <w:multiLevelType w:val="multilevel"/>
    <w:tmpl w:val="90688FDE"/>
    <w:lvl w:ilvl="0">
      <w:start w:val="1"/>
      <w:numFmt w:val="decimal"/>
      <w:lvlText w:val="%1."/>
      <w:lvlJc w:val="left"/>
      <w:pPr>
        <w:ind w:left="460" w:hanging="361"/>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2)"/>
      <w:lvlJc w:val="left"/>
      <w:pPr>
        <w:ind w:left="460" w:hanging="262"/>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2.%3"/>
      <w:lvlJc w:val="left"/>
      <w:pPr>
        <w:ind w:left="882" w:hanging="423"/>
      </w:pPr>
      <w:rPr>
        <w:rFonts w:hint="default"/>
        <w:spacing w:val="0"/>
        <w:w w:val="100"/>
        <w:lang w:val="en-US" w:eastAsia="en-US" w:bidi="ar-SA"/>
      </w:rPr>
    </w:lvl>
    <w:lvl w:ilvl="3">
      <w:numFmt w:val="bullet"/>
      <w:lvlText w:val="•"/>
      <w:lvlJc w:val="left"/>
      <w:pPr>
        <w:ind w:left="3151" w:hanging="423"/>
      </w:pPr>
      <w:rPr>
        <w:rFonts w:hint="default"/>
        <w:lang w:val="en-US" w:eastAsia="en-US" w:bidi="ar-SA"/>
      </w:rPr>
    </w:lvl>
    <w:lvl w:ilvl="4">
      <w:numFmt w:val="bullet"/>
      <w:lvlText w:val="•"/>
      <w:lvlJc w:val="left"/>
      <w:pPr>
        <w:ind w:left="4286" w:hanging="423"/>
      </w:pPr>
      <w:rPr>
        <w:rFonts w:hint="default"/>
        <w:lang w:val="en-US" w:eastAsia="en-US" w:bidi="ar-SA"/>
      </w:rPr>
    </w:lvl>
    <w:lvl w:ilvl="5">
      <w:numFmt w:val="bullet"/>
      <w:lvlText w:val="•"/>
      <w:lvlJc w:val="left"/>
      <w:pPr>
        <w:ind w:left="5422" w:hanging="423"/>
      </w:pPr>
      <w:rPr>
        <w:rFonts w:hint="default"/>
        <w:lang w:val="en-US" w:eastAsia="en-US" w:bidi="ar-SA"/>
      </w:rPr>
    </w:lvl>
    <w:lvl w:ilvl="6">
      <w:numFmt w:val="bullet"/>
      <w:lvlText w:val="•"/>
      <w:lvlJc w:val="left"/>
      <w:pPr>
        <w:ind w:left="6557" w:hanging="423"/>
      </w:pPr>
      <w:rPr>
        <w:rFonts w:hint="default"/>
        <w:lang w:val="en-US" w:eastAsia="en-US" w:bidi="ar-SA"/>
      </w:rPr>
    </w:lvl>
    <w:lvl w:ilvl="7">
      <w:numFmt w:val="bullet"/>
      <w:lvlText w:val="•"/>
      <w:lvlJc w:val="left"/>
      <w:pPr>
        <w:ind w:left="7693" w:hanging="423"/>
      </w:pPr>
      <w:rPr>
        <w:rFonts w:hint="default"/>
        <w:lang w:val="en-US" w:eastAsia="en-US" w:bidi="ar-SA"/>
      </w:rPr>
    </w:lvl>
    <w:lvl w:ilvl="8">
      <w:numFmt w:val="bullet"/>
      <w:lvlText w:val="•"/>
      <w:lvlJc w:val="left"/>
      <w:pPr>
        <w:ind w:left="8828" w:hanging="423"/>
      </w:pPr>
      <w:rPr>
        <w:rFonts w:hint="default"/>
        <w:lang w:val="en-US" w:eastAsia="en-US" w:bidi="ar-SA"/>
      </w:rPr>
    </w:lvl>
  </w:abstractNum>
  <w:abstractNum w:abstractNumId="15" w15:restartNumberingAfterBreak="0">
    <w:nsid w:val="465A383E"/>
    <w:multiLevelType w:val="multilevel"/>
    <w:tmpl w:val="DA5690C6"/>
    <w:lvl w:ilvl="0">
      <w:start w:val="3"/>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3C66C4"/>
    <w:multiLevelType w:val="multilevel"/>
    <w:tmpl w:val="E8464C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9894BDC"/>
    <w:multiLevelType w:val="multilevel"/>
    <w:tmpl w:val="F00A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363784"/>
    <w:multiLevelType w:val="multilevel"/>
    <w:tmpl w:val="FC3AFFE0"/>
    <w:lvl w:ilvl="0">
      <w:start w:val="5"/>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0F3F3E"/>
    <w:multiLevelType w:val="multilevel"/>
    <w:tmpl w:val="EE98B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484EF8"/>
    <w:multiLevelType w:val="multilevel"/>
    <w:tmpl w:val="AB52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A02850"/>
    <w:multiLevelType w:val="hybridMultilevel"/>
    <w:tmpl w:val="7616C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EC448B6"/>
    <w:multiLevelType w:val="multilevel"/>
    <w:tmpl w:val="46906C8A"/>
    <w:lvl w:ilvl="0">
      <w:start w:val="3"/>
      <w:numFmt w:val="decimal"/>
      <w:lvlText w:val="%1"/>
      <w:lvlJc w:val="left"/>
      <w:pPr>
        <w:ind w:left="576" w:hanging="576"/>
      </w:pPr>
      <w:rPr>
        <w:rFonts w:hint="default"/>
      </w:rPr>
    </w:lvl>
    <w:lvl w:ilvl="1">
      <w:start w:val="3"/>
      <w:numFmt w:val="decimal"/>
      <w:lvlText w:val="%1.%2"/>
      <w:lvlJc w:val="left"/>
      <w:pPr>
        <w:ind w:left="666" w:hanging="576"/>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3" w15:restartNumberingAfterBreak="0">
    <w:nsid w:val="609C180A"/>
    <w:multiLevelType w:val="multilevel"/>
    <w:tmpl w:val="B6B6F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1B02FC"/>
    <w:multiLevelType w:val="hybridMultilevel"/>
    <w:tmpl w:val="8C80B3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6861250E"/>
    <w:multiLevelType w:val="hybridMultilevel"/>
    <w:tmpl w:val="76E0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3A10C7"/>
    <w:multiLevelType w:val="multilevel"/>
    <w:tmpl w:val="895AD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4A3FE1"/>
    <w:multiLevelType w:val="hybridMultilevel"/>
    <w:tmpl w:val="97F640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BF57001"/>
    <w:multiLevelType w:val="hybridMultilevel"/>
    <w:tmpl w:val="E52C8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92915"/>
    <w:multiLevelType w:val="hybridMultilevel"/>
    <w:tmpl w:val="6CF8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EF139A"/>
    <w:multiLevelType w:val="multilevel"/>
    <w:tmpl w:val="B7B63416"/>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0D02BA9"/>
    <w:multiLevelType w:val="hybridMultilevel"/>
    <w:tmpl w:val="3D100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F1406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D1012CE"/>
    <w:multiLevelType w:val="hybridMultilevel"/>
    <w:tmpl w:val="2430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9066607">
    <w:abstractNumId w:val="19"/>
  </w:num>
  <w:num w:numId="2" w16cid:durableId="1391923195">
    <w:abstractNumId w:val="31"/>
  </w:num>
  <w:num w:numId="3" w16cid:durableId="1411847713">
    <w:abstractNumId w:val="14"/>
  </w:num>
  <w:num w:numId="4" w16cid:durableId="1180781658">
    <w:abstractNumId w:val="17"/>
  </w:num>
  <w:num w:numId="5" w16cid:durableId="1129393491">
    <w:abstractNumId w:val="20"/>
  </w:num>
  <w:num w:numId="6" w16cid:durableId="1604804585">
    <w:abstractNumId w:val="23"/>
  </w:num>
  <w:num w:numId="7" w16cid:durableId="1832912451">
    <w:abstractNumId w:val="8"/>
  </w:num>
  <w:num w:numId="8" w16cid:durableId="174811513">
    <w:abstractNumId w:val="6"/>
  </w:num>
  <w:num w:numId="9" w16cid:durableId="425073723">
    <w:abstractNumId w:val="3"/>
  </w:num>
  <w:num w:numId="10" w16cid:durableId="2024474646">
    <w:abstractNumId w:val="15"/>
  </w:num>
  <w:num w:numId="11" w16cid:durableId="34815233">
    <w:abstractNumId w:val="13"/>
  </w:num>
  <w:num w:numId="12" w16cid:durableId="1178543701">
    <w:abstractNumId w:val="18"/>
  </w:num>
  <w:num w:numId="13" w16cid:durableId="948514758">
    <w:abstractNumId w:val="33"/>
  </w:num>
  <w:num w:numId="14" w16cid:durableId="1724596894">
    <w:abstractNumId w:val="11"/>
  </w:num>
  <w:num w:numId="15" w16cid:durableId="1607154394">
    <w:abstractNumId w:val="30"/>
  </w:num>
  <w:num w:numId="16" w16cid:durableId="1905291718">
    <w:abstractNumId w:val="2"/>
  </w:num>
  <w:num w:numId="17" w16cid:durableId="402143656">
    <w:abstractNumId w:val="9"/>
  </w:num>
  <w:num w:numId="18" w16cid:durableId="559442176">
    <w:abstractNumId w:val="1"/>
  </w:num>
  <w:num w:numId="19" w16cid:durableId="1857041204">
    <w:abstractNumId w:val="26"/>
  </w:num>
  <w:num w:numId="20" w16cid:durableId="1831405390">
    <w:abstractNumId w:val="28"/>
  </w:num>
  <w:num w:numId="21" w16cid:durableId="1627468218">
    <w:abstractNumId w:val="29"/>
  </w:num>
  <w:num w:numId="22" w16cid:durableId="1350718844">
    <w:abstractNumId w:val="27"/>
  </w:num>
  <w:num w:numId="23" w16cid:durableId="172964509">
    <w:abstractNumId w:val="12"/>
  </w:num>
  <w:num w:numId="24" w16cid:durableId="1109592274">
    <w:abstractNumId w:val="24"/>
  </w:num>
  <w:num w:numId="25" w16cid:durableId="1398674848">
    <w:abstractNumId w:val="22"/>
  </w:num>
  <w:num w:numId="26" w16cid:durableId="1546789682">
    <w:abstractNumId w:val="5"/>
  </w:num>
  <w:num w:numId="27" w16cid:durableId="591745882">
    <w:abstractNumId w:val="10"/>
  </w:num>
  <w:num w:numId="28" w16cid:durableId="944776167">
    <w:abstractNumId w:val="25"/>
  </w:num>
  <w:num w:numId="29" w16cid:durableId="101150797">
    <w:abstractNumId w:val="4"/>
  </w:num>
  <w:num w:numId="30" w16cid:durableId="1178276609">
    <w:abstractNumId w:val="16"/>
  </w:num>
  <w:num w:numId="31" w16cid:durableId="213276515">
    <w:abstractNumId w:val="7"/>
  </w:num>
  <w:num w:numId="32" w16cid:durableId="1665160747">
    <w:abstractNumId w:val="0"/>
  </w:num>
  <w:num w:numId="33" w16cid:durableId="354230700">
    <w:abstractNumId w:val="32"/>
  </w:num>
  <w:num w:numId="34" w16cid:durableId="19381019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92647042">
    <w:abstractNumId w:val="21"/>
  </w:num>
  <w:num w:numId="36" w16cid:durableId="13789675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wNjExMLU0NTcyMjJV0lEKTi0uzszPAykwMqgFACApQWEtAAAA"/>
  </w:docVars>
  <w:rsids>
    <w:rsidRoot w:val="00F15C29"/>
    <w:rsid w:val="000002D8"/>
    <w:rsid w:val="000101FA"/>
    <w:rsid w:val="00010A9A"/>
    <w:rsid w:val="00040430"/>
    <w:rsid w:val="0007166F"/>
    <w:rsid w:val="0007689F"/>
    <w:rsid w:val="000935F7"/>
    <w:rsid w:val="000B4123"/>
    <w:rsid w:val="000C74F1"/>
    <w:rsid w:val="000C7F0B"/>
    <w:rsid w:val="000D0256"/>
    <w:rsid w:val="000D15CF"/>
    <w:rsid w:val="000E08B0"/>
    <w:rsid w:val="000E2E4F"/>
    <w:rsid w:val="000E5CAD"/>
    <w:rsid w:val="000E7901"/>
    <w:rsid w:val="000F580E"/>
    <w:rsid w:val="00100B58"/>
    <w:rsid w:val="00105F69"/>
    <w:rsid w:val="00111525"/>
    <w:rsid w:val="001138CF"/>
    <w:rsid w:val="00120402"/>
    <w:rsid w:val="001251AF"/>
    <w:rsid w:val="00127872"/>
    <w:rsid w:val="00135221"/>
    <w:rsid w:val="001353E6"/>
    <w:rsid w:val="00140AC8"/>
    <w:rsid w:val="00154DE6"/>
    <w:rsid w:val="0016295D"/>
    <w:rsid w:val="0016461F"/>
    <w:rsid w:val="00171993"/>
    <w:rsid w:val="00171A46"/>
    <w:rsid w:val="00171A8F"/>
    <w:rsid w:val="0017535B"/>
    <w:rsid w:val="001756B6"/>
    <w:rsid w:val="001813B1"/>
    <w:rsid w:val="0018627C"/>
    <w:rsid w:val="00186E63"/>
    <w:rsid w:val="00186EF5"/>
    <w:rsid w:val="001A4E3F"/>
    <w:rsid w:val="001B7754"/>
    <w:rsid w:val="001C0B61"/>
    <w:rsid w:val="001C3F6E"/>
    <w:rsid w:val="001D26CC"/>
    <w:rsid w:val="001E219E"/>
    <w:rsid w:val="001E3231"/>
    <w:rsid w:val="001E47EB"/>
    <w:rsid w:val="001E6653"/>
    <w:rsid w:val="00206112"/>
    <w:rsid w:val="002064DE"/>
    <w:rsid w:val="00207812"/>
    <w:rsid w:val="0020799A"/>
    <w:rsid w:val="00230192"/>
    <w:rsid w:val="00237CB5"/>
    <w:rsid w:val="00241B38"/>
    <w:rsid w:val="002515CE"/>
    <w:rsid w:val="00251F1A"/>
    <w:rsid w:val="0025318C"/>
    <w:rsid w:val="00257B77"/>
    <w:rsid w:val="002666D3"/>
    <w:rsid w:val="002707B3"/>
    <w:rsid w:val="00292910"/>
    <w:rsid w:val="002A0A6E"/>
    <w:rsid w:val="002A2571"/>
    <w:rsid w:val="002A2AF2"/>
    <w:rsid w:val="002A4FEF"/>
    <w:rsid w:val="002A6297"/>
    <w:rsid w:val="002B05B3"/>
    <w:rsid w:val="002C2D99"/>
    <w:rsid w:val="002C5BD5"/>
    <w:rsid w:val="002D0561"/>
    <w:rsid w:val="002D1789"/>
    <w:rsid w:val="002D178C"/>
    <w:rsid w:val="002E35DE"/>
    <w:rsid w:val="002E3D57"/>
    <w:rsid w:val="002E5ACD"/>
    <w:rsid w:val="002F1C25"/>
    <w:rsid w:val="002F2377"/>
    <w:rsid w:val="002F4ED6"/>
    <w:rsid w:val="002F7BE7"/>
    <w:rsid w:val="0030389E"/>
    <w:rsid w:val="0031151F"/>
    <w:rsid w:val="00315866"/>
    <w:rsid w:val="0031721F"/>
    <w:rsid w:val="00320AB1"/>
    <w:rsid w:val="00321F5E"/>
    <w:rsid w:val="003350C3"/>
    <w:rsid w:val="003357A5"/>
    <w:rsid w:val="00346872"/>
    <w:rsid w:val="00352CAB"/>
    <w:rsid w:val="00362997"/>
    <w:rsid w:val="00375823"/>
    <w:rsid w:val="003825E2"/>
    <w:rsid w:val="00384695"/>
    <w:rsid w:val="00385F4E"/>
    <w:rsid w:val="003865F3"/>
    <w:rsid w:val="003967D0"/>
    <w:rsid w:val="003D0CE5"/>
    <w:rsid w:val="003E3733"/>
    <w:rsid w:val="003E6A05"/>
    <w:rsid w:val="003F0BBB"/>
    <w:rsid w:val="003F442F"/>
    <w:rsid w:val="0041173D"/>
    <w:rsid w:val="00413231"/>
    <w:rsid w:val="00416771"/>
    <w:rsid w:val="004225D4"/>
    <w:rsid w:val="00423C99"/>
    <w:rsid w:val="004255DB"/>
    <w:rsid w:val="00426A93"/>
    <w:rsid w:val="0043438F"/>
    <w:rsid w:val="004348EB"/>
    <w:rsid w:val="0043497B"/>
    <w:rsid w:val="00440345"/>
    <w:rsid w:val="00462703"/>
    <w:rsid w:val="004711E6"/>
    <w:rsid w:val="00481E0F"/>
    <w:rsid w:val="00482216"/>
    <w:rsid w:val="00484397"/>
    <w:rsid w:val="00493C00"/>
    <w:rsid w:val="0049682A"/>
    <w:rsid w:val="004A73EF"/>
    <w:rsid w:val="004B1C38"/>
    <w:rsid w:val="004B65F7"/>
    <w:rsid w:val="004C2891"/>
    <w:rsid w:val="004D1C3E"/>
    <w:rsid w:val="004E25B0"/>
    <w:rsid w:val="004E43CA"/>
    <w:rsid w:val="004F0D47"/>
    <w:rsid w:val="004F17AE"/>
    <w:rsid w:val="004F68F2"/>
    <w:rsid w:val="005025E4"/>
    <w:rsid w:val="00514E0A"/>
    <w:rsid w:val="005164B6"/>
    <w:rsid w:val="0051682F"/>
    <w:rsid w:val="00523225"/>
    <w:rsid w:val="00526AE4"/>
    <w:rsid w:val="0053322D"/>
    <w:rsid w:val="005344D9"/>
    <w:rsid w:val="00537988"/>
    <w:rsid w:val="00545BFB"/>
    <w:rsid w:val="00550B4F"/>
    <w:rsid w:val="005559F5"/>
    <w:rsid w:val="0056059D"/>
    <w:rsid w:val="00564031"/>
    <w:rsid w:val="00564AC4"/>
    <w:rsid w:val="00572B22"/>
    <w:rsid w:val="00574490"/>
    <w:rsid w:val="00574566"/>
    <w:rsid w:val="00583C7B"/>
    <w:rsid w:val="00584196"/>
    <w:rsid w:val="00592819"/>
    <w:rsid w:val="005951BE"/>
    <w:rsid w:val="005A5540"/>
    <w:rsid w:val="005B5944"/>
    <w:rsid w:val="005C1363"/>
    <w:rsid w:val="005C1FD8"/>
    <w:rsid w:val="005C6DF2"/>
    <w:rsid w:val="005C7B8C"/>
    <w:rsid w:val="005D0C1D"/>
    <w:rsid w:val="005D1626"/>
    <w:rsid w:val="005D51FB"/>
    <w:rsid w:val="005E2B1A"/>
    <w:rsid w:val="005E2E07"/>
    <w:rsid w:val="005F0DBC"/>
    <w:rsid w:val="005F1963"/>
    <w:rsid w:val="005F2E6D"/>
    <w:rsid w:val="006046FF"/>
    <w:rsid w:val="00614BE7"/>
    <w:rsid w:val="00623D2F"/>
    <w:rsid w:val="006240EF"/>
    <w:rsid w:val="00632895"/>
    <w:rsid w:val="006343E3"/>
    <w:rsid w:val="00643A4A"/>
    <w:rsid w:val="00644397"/>
    <w:rsid w:val="00644E8F"/>
    <w:rsid w:val="0065338F"/>
    <w:rsid w:val="00656BD3"/>
    <w:rsid w:val="00657D70"/>
    <w:rsid w:val="0066235B"/>
    <w:rsid w:val="00666B8B"/>
    <w:rsid w:val="00670BCD"/>
    <w:rsid w:val="006870E8"/>
    <w:rsid w:val="0069656B"/>
    <w:rsid w:val="006A3DCA"/>
    <w:rsid w:val="006B784E"/>
    <w:rsid w:val="006C19E6"/>
    <w:rsid w:val="006C65A0"/>
    <w:rsid w:val="006D02EF"/>
    <w:rsid w:val="006D38C2"/>
    <w:rsid w:val="006D68DA"/>
    <w:rsid w:val="006E06B7"/>
    <w:rsid w:val="006F195C"/>
    <w:rsid w:val="006F2111"/>
    <w:rsid w:val="006F288B"/>
    <w:rsid w:val="006F3D08"/>
    <w:rsid w:val="00702A48"/>
    <w:rsid w:val="00710D0D"/>
    <w:rsid w:val="007222F9"/>
    <w:rsid w:val="007315AE"/>
    <w:rsid w:val="0074379B"/>
    <w:rsid w:val="00751632"/>
    <w:rsid w:val="00761B9D"/>
    <w:rsid w:val="00764152"/>
    <w:rsid w:val="0076519D"/>
    <w:rsid w:val="00775464"/>
    <w:rsid w:val="00784809"/>
    <w:rsid w:val="00793457"/>
    <w:rsid w:val="00793EC3"/>
    <w:rsid w:val="00796ECC"/>
    <w:rsid w:val="007A2FF1"/>
    <w:rsid w:val="007C13A1"/>
    <w:rsid w:val="007C7EB4"/>
    <w:rsid w:val="007D1669"/>
    <w:rsid w:val="007D6999"/>
    <w:rsid w:val="007E0480"/>
    <w:rsid w:val="007E3FA7"/>
    <w:rsid w:val="007E7A99"/>
    <w:rsid w:val="007E7F60"/>
    <w:rsid w:val="00800D36"/>
    <w:rsid w:val="00800ED3"/>
    <w:rsid w:val="0080228A"/>
    <w:rsid w:val="00815B7E"/>
    <w:rsid w:val="008220C0"/>
    <w:rsid w:val="00823128"/>
    <w:rsid w:val="00830E27"/>
    <w:rsid w:val="00834605"/>
    <w:rsid w:val="0083501F"/>
    <w:rsid w:val="00870D1A"/>
    <w:rsid w:val="008909C9"/>
    <w:rsid w:val="008A6618"/>
    <w:rsid w:val="008B36FA"/>
    <w:rsid w:val="008C2872"/>
    <w:rsid w:val="008C4E8E"/>
    <w:rsid w:val="008D2A22"/>
    <w:rsid w:val="008F5CEC"/>
    <w:rsid w:val="00901A9B"/>
    <w:rsid w:val="00906FC9"/>
    <w:rsid w:val="00916F5C"/>
    <w:rsid w:val="00931984"/>
    <w:rsid w:val="00932025"/>
    <w:rsid w:val="00936BEA"/>
    <w:rsid w:val="0094191D"/>
    <w:rsid w:val="00942064"/>
    <w:rsid w:val="00942259"/>
    <w:rsid w:val="0095017E"/>
    <w:rsid w:val="0095128F"/>
    <w:rsid w:val="009519CC"/>
    <w:rsid w:val="00954A9D"/>
    <w:rsid w:val="00956B0E"/>
    <w:rsid w:val="00961A4B"/>
    <w:rsid w:val="00961FC6"/>
    <w:rsid w:val="009645AB"/>
    <w:rsid w:val="009721E3"/>
    <w:rsid w:val="00981789"/>
    <w:rsid w:val="00990D1E"/>
    <w:rsid w:val="009911B6"/>
    <w:rsid w:val="009A2F6C"/>
    <w:rsid w:val="009A3BDB"/>
    <w:rsid w:val="009A508E"/>
    <w:rsid w:val="009B5E8C"/>
    <w:rsid w:val="009C28C0"/>
    <w:rsid w:val="009C305E"/>
    <w:rsid w:val="009D164B"/>
    <w:rsid w:val="009E3A98"/>
    <w:rsid w:val="009E4026"/>
    <w:rsid w:val="009E44FA"/>
    <w:rsid w:val="009F211C"/>
    <w:rsid w:val="009F6119"/>
    <w:rsid w:val="00A07627"/>
    <w:rsid w:val="00A07FAC"/>
    <w:rsid w:val="00A11C8C"/>
    <w:rsid w:val="00A24FDA"/>
    <w:rsid w:val="00A27035"/>
    <w:rsid w:val="00A410E8"/>
    <w:rsid w:val="00A4667E"/>
    <w:rsid w:val="00A53BAE"/>
    <w:rsid w:val="00A60CD2"/>
    <w:rsid w:val="00A64930"/>
    <w:rsid w:val="00A71C9C"/>
    <w:rsid w:val="00A7317B"/>
    <w:rsid w:val="00A82FA1"/>
    <w:rsid w:val="00A926A5"/>
    <w:rsid w:val="00AA0069"/>
    <w:rsid w:val="00AA611C"/>
    <w:rsid w:val="00AC2369"/>
    <w:rsid w:val="00AC4527"/>
    <w:rsid w:val="00AC79F5"/>
    <w:rsid w:val="00AF347F"/>
    <w:rsid w:val="00B16967"/>
    <w:rsid w:val="00B21FC6"/>
    <w:rsid w:val="00B36CA6"/>
    <w:rsid w:val="00B44610"/>
    <w:rsid w:val="00B456E1"/>
    <w:rsid w:val="00B46E72"/>
    <w:rsid w:val="00B52C27"/>
    <w:rsid w:val="00B867D2"/>
    <w:rsid w:val="00B95934"/>
    <w:rsid w:val="00BA73A1"/>
    <w:rsid w:val="00BB2E01"/>
    <w:rsid w:val="00BD0A78"/>
    <w:rsid w:val="00BE488B"/>
    <w:rsid w:val="00BE68C6"/>
    <w:rsid w:val="00BF2A71"/>
    <w:rsid w:val="00BF61F1"/>
    <w:rsid w:val="00BF7A06"/>
    <w:rsid w:val="00C01B70"/>
    <w:rsid w:val="00C07C2D"/>
    <w:rsid w:val="00C145A5"/>
    <w:rsid w:val="00C24E6B"/>
    <w:rsid w:val="00C258CB"/>
    <w:rsid w:val="00C34456"/>
    <w:rsid w:val="00C36831"/>
    <w:rsid w:val="00C400FC"/>
    <w:rsid w:val="00C40382"/>
    <w:rsid w:val="00C41058"/>
    <w:rsid w:val="00C468E3"/>
    <w:rsid w:val="00C50169"/>
    <w:rsid w:val="00C55948"/>
    <w:rsid w:val="00C620B4"/>
    <w:rsid w:val="00C70FAA"/>
    <w:rsid w:val="00C764B7"/>
    <w:rsid w:val="00C770D5"/>
    <w:rsid w:val="00C970B2"/>
    <w:rsid w:val="00C97E86"/>
    <w:rsid w:val="00CA5B28"/>
    <w:rsid w:val="00CA6F37"/>
    <w:rsid w:val="00CC7B09"/>
    <w:rsid w:val="00CD0503"/>
    <w:rsid w:val="00CD2321"/>
    <w:rsid w:val="00CD5A3F"/>
    <w:rsid w:val="00CE21E3"/>
    <w:rsid w:val="00CE4AC2"/>
    <w:rsid w:val="00CE6F42"/>
    <w:rsid w:val="00CF3647"/>
    <w:rsid w:val="00CF777F"/>
    <w:rsid w:val="00D00196"/>
    <w:rsid w:val="00D00B0C"/>
    <w:rsid w:val="00D00E20"/>
    <w:rsid w:val="00D10945"/>
    <w:rsid w:val="00D32B57"/>
    <w:rsid w:val="00D36B80"/>
    <w:rsid w:val="00D36C0F"/>
    <w:rsid w:val="00D414C9"/>
    <w:rsid w:val="00D439CE"/>
    <w:rsid w:val="00D54C09"/>
    <w:rsid w:val="00D56E7E"/>
    <w:rsid w:val="00D62FF5"/>
    <w:rsid w:val="00D80D0E"/>
    <w:rsid w:val="00D915A7"/>
    <w:rsid w:val="00D9634C"/>
    <w:rsid w:val="00DB01A5"/>
    <w:rsid w:val="00DC70DD"/>
    <w:rsid w:val="00DD0E9A"/>
    <w:rsid w:val="00DE0B96"/>
    <w:rsid w:val="00DE2297"/>
    <w:rsid w:val="00DF2A64"/>
    <w:rsid w:val="00DF445A"/>
    <w:rsid w:val="00E01576"/>
    <w:rsid w:val="00E0209D"/>
    <w:rsid w:val="00E1442B"/>
    <w:rsid w:val="00E228AD"/>
    <w:rsid w:val="00E27E36"/>
    <w:rsid w:val="00E334F5"/>
    <w:rsid w:val="00E41A27"/>
    <w:rsid w:val="00E461BD"/>
    <w:rsid w:val="00E509B3"/>
    <w:rsid w:val="00E57FEA"/>
    <w:rsid w:val="00E63940"/>
    <w:rsid w:val="00E6423F"/>
    <w:rsid w:val="00E66E72"/>
    <w:rsid w:val="00E72ABD"/>
    <w:rsid w:val="00E9018C"/>
    <w:rsid w:val="00E92E95"/>
    <w:rsid w:val="00E93217"/>
    <w:rsid w:val="00E96A9F"/>
    <w:rsid w:val="00EB2E53"/>
    <w:rsid w:val="00EB4277"/>
    <w:rsid w:val="00EC1FA8"/>
    <w:rsid w:val="00EC51BB"/>
    <w:rsid w:val="00EC683F"/>
    <w:rsid w:val="00EC7995"/>
    <w:rsid w:val="00ED207F"/>
    <w:rsid w:val="00ED32ED"/>
    <w:rsid w:val="00ED3FA6"/>
    <w:rsid w:val="00ED6A54"/>
    <w:rsid w:val="00EE5270"/>
    <w:rsid w:val="00EE5DAB"/>
    <w:rsid w:val="00F05A52"/>
    <w:rsid w:val="00F15C29"/>
    <w:rsid w:val="00F226E6"/>
    <w:rsid w:val="00F31FC1"/>
    <w:rsid w:val="00F37896"/>
    <w:rsid w:val="00F40138"/>
    <w:rsid w:val="00F434B1"/>
    <w:rsid w:val="00F463C1"/>
    <w:rsid w:val="00F54135"/>
    <w:rsid w:val="00F6166C"/>
    <w:rsid w:val="00F6278A"/>
    <w:rsid w:val="00F65A8D"/>
    <w:rsid w:val="00F6788A"/>
    <w:rsid w:val="00F767C4"/>
    <w:rsid w:val="00F77FE4"/>
    <w:rsid w:val="00F83E1A"/>
    <w:rsid w:val="00F9033E"/>
    <w:rsid w:val="00FB39E9"/>
    <w:rsid w:val="00FB55CA"/>
    <w:rsid w:val="00FB7BDF"/>
    <w:rsid w:val="00FC1385"/>
    <w:rsid w:val="00FC6BBD"/>
    <w:rsid w:val="00FD24F7"/>
    <w:rsid w:val="00FD5658"/>
    <w:rsid w:val="00FD6659"/>
    <w:rsid w:val="00FF03CB"/>
    <w:rsid w:val="0CC53633"/>
    <w:rsid w:val="1A1BCDB0"/>
    <w:rsid w:val="2C2461F0"/>
    <w:rsid w:val="30AE27C3"/>
    <w:rsid w:val="6F90D69E"/>
    <w:rsid w:val="72D2D39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A4D8D"/>
  <w15:docId w15:val="{C4CBE30C-31ED-4251-9A08-922D3715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C29"/>
  </w:style>
  <w:style w:type="paragraph" w:styleId="Heading1">
    <w:name w:val="heading 1"/>
    <w:basedOn w:val="Normal"/>
    <w:link w:val="Heading1Char"/>
    <w:uiPriority w:val="9"/>
    <w:qFormat/>
    <w:rsid w:val="00EE5DAB"/>
    <w:pPr>
      <w:widowControl w:val="0"/>
      <w:autoSpaceDE w:val="0"/>
      <w:autoSpaceDN w:val="0"/>
      <w:spacing w:before="81" w:after="0" w:line="240" w:lineRule="auto"/>
      <w:ind w:left="740"/>
      <w:outlineLvl w:val="0"/>
    </w:pPr>
    <w:rPr>
      <w:rFonts w:ascii="Times New Roman" w:eastAsia="Times New Roman" w:hAnsi="Times New Roman" w:cs="Times New Roman"/>
      <w:b/>
      <w:bCs/>
      <w:sz w:val="44"/>
      <w:szCs w:val="44"/>
    </w:rPr>
  </w:style>
  <w:style w:type="paragraph" w:styleId="Heading2">
    <w:name w:val="heading 2"/>
    <w:aliases w:val="Title 02"/>
    <w:basedOn w:val="Normal"/>
    <w:link w:val="Heading2Char"/>
    <w:uiPriority w:val="9"/>
    <w:qFormat/>
    <w:rsid w:val="00EE5DAB"/>
    <w:pPr>
      <w:widowControl w:val="0"/>
      <w:autoSpaceDE w:val="0"/>
      <w:autoSpaceDN w:val="0"/>
      <w:spacing w:before="59" w:after="0" w:line="240" w:lineRule="auto"/>
      <w:ind w:left="740"/>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F15C29"/>
    <w:pPr>
      <w:keepNext/>
      <w:spacing w:before="240" w:after="60" w:line="240" w:lineRule="auto"/>
      <w:outlineLvl w:val="2"/>
    </w:pPr>
    <w:rPr>
      <w:rFonts w:ascii="Calibri Light" w:eastAsia="DengXian Light" w:hAnsi="Calibri Light" w:cs="Times New Roman"/>
      <w:b/>
      <w:bCs/>
      <w:sz w:val="26"/>
      <w:szCs w:val="26"/>
      <w:lang w:eastAsia="zh-CN"/>
    </w:rPr>
  </w:style>
  <w:style w:type="paragraph" w:styleId="Heading4">
    <w:name w:val="heading 4"/>
    <w:basedOn w:val="Normal"/>
    <w:next w:val="Normal"/>
    <w:link w:val="Heading4Char"/>
    <w:uiPriority w:val="9"/>
    <w:unhideWhenUsed/>
    <w:qFormat/>
    <w:rsid w:val="00EE5DAB"/>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E5DA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E5DAB"/>
    <w:pPr>
      <w:keepNext/>
      <w:keepLines/>
      <w:widowControl w:val="0"/>
      <w:autoSpaceDE w:val="0"/>
      <w:autoSpaceDN w:val="0"/>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645AB"/>
    <w:pPr>
      <w:keepNext/>
      <w:keepLines/>
      <w:spacing w:before="40" w:after="0" w:line="256" w:lineRule="auto"/>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645AB"/>
    <w:pPr>
      <w:keepNext/>
      <w:keepLines/>
      <w:spacing w:before="40" w:after="0" w:line="25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645AB"/>
    <w:pPr>
      <w:keepNext/>
      <w:keepLines/>
      <w:spacing w:before="40" w:after="0" w:line="25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15C29"/>
    <w:rPr>
      <w:rFonts w:ascii="Calibri Light" w:eastAsia="DengXian Light" w:hAnsi="Calibri Light" w:cs="Times New Roman"/>
      <w:b/>
      <w:bCs/>
      <w:sz w:val="26"/>
      <w:szCs w:val="26"/>
      <w:lang w:eastAsia="zh-CN"/>
    </w:rPr>
  </w:style>
  <w:style w:type="paragraph" w:styleId="BodyText">
    <w:name w:val="Body Text"/>
    <w:basedOn w:val="Normal"/>
    <w:link w:val="BodyTextChar"/>
    <w:uiPriority w:val="1"/>
    <w:unhideWhenUsed/>
    <w:qFormat/>
    <w:rsid w:val="00F15C29"/>
    <w:pPr>
      <w:widowControl w:val="0"/>
      <w:autoSpaceDE w:val="0"/>
      <w:autoSpaceDN w:val="0"/>
      <w:spacing w:after="0" w:line="240" w:lineRule="auto"/>
      <w:ind w:left="28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15C29"/>
    <w:rPr>
      <w:rFonts w:ascii="Times New Roman" w:eastAsia="Times New Roman" w:hAnsi="Times New Roman" w:cs="Times New Roman"/>
      <w:sz w:val="24"/>
      <w:szCs w:val="24"/>
    </w:rPr>
  </w:style>
  <w:style w:type="table" w:styleId="TableGrid">
    <w:name w:val="Table Grid"/>
    <w:basedOn w:val="TableNormal"/>
    <w:uiPriority w:val="39"/>
    <w:qFormat/>
    <w:rsid w:val="00F15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F15C29"/>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gures">
    <w:name w:val="Figures"/>
    <w:basedOn w:val="Caption"/>
    <w:next w:val="Caption"/>
    <w:qFormat/>
    <w:rsid w:val="00F15C29"/>
    <w:pPr>
      <w:spacing w:before="100" w:beforeAutospacing="1" w:after="100" w:afterAutospacing="1"/>
      <w:jc w:val="center"/>
    </w:pPr>
    <w:rPr>
      <w:rFonts w:ascii="Times New Roman" w:eastAsia="Times New Roman" w:hAnsi="Times New Roman" w:cs="Times New Roman"/>
      <w:b w:val="0"/>
      <w:iCs/>
      <w:color w:val="000000" w:themeColor="text1"/>
      <w:sz w:val="21"/>
      <w:szCs w:val="21"/>
      <w:lang w:eastAsia="zh-CN"/>
    </w:rPr>
  </w:style>
  <w:style w:type="paragraph" w:customStyle="1" w:styleId="Tables">
    <w:name w:val="Tables"/>
    <w:basedOn w:val="Caption"/>
    <w:next w:val="Caption"/>
    <w:qFormat/>
    <w:rsid w:val="00F15C29"/>
    <w:pPr>
      <w:spacing w:before="100" w:beforeAutospacing="1" w:after="100" w:afterAutospacing="1"/>
      <w:ind w:firstLine="720"/>
      <w:jc w:val="both"/>
    </w:pPr>
    <w:rPr>
      <w:rFonts w:ascii="Times New Roman" w:eastAsia="Times New Roman" w:hAnsi="Times New Roman" w:cs="Times New Roman"/>
      <w:b w:val="0"/>
      <w:bCs w:val="0"/>
      <w:iCs/>
      <w:color w:val="000000" w:themeColor="text1"/>
      <w:sz w:val="21"/>
      <w:lang w:eastAsia="zh-CN"/>
    </w:rPr>
  </w:style>
  <w:style w:type="paragraph" w:styleId="Caption">
    <w:name w:val="caption"/>
    <w:basedOn w:val="Normal"/>
    <w:next w:val="Normal"/>
    <w:uiPriority w:val="35"/>
    <w:unhideWhenUsed/>
    <w:qFormat/>
    <w:rsid w:val="00F15C29"/>
    <w:pPr>
      <w:spacing w:after="200" w:line="240" w:lineRule="auto"/>
    </w:pPr>
    <w:rPr>
      <w:b/>
      <w:bCs/>
      <w:color w:val="5B9BD5" w:themeColor="accent1"/>
      <w:sz w:val="18"/>
      <w:szCs w:val="18"/>
    </w:rPr>
  </w:style>
  <w:style w:type="paragraph" w:styleId="BalloonText">
    <w:name w:val="Balloon Text"/>
    <w:basedOn w:val="Normal"/>
    <w:link w:val="BalloonTextChar"/>
    <w:uiPriority w:val="99"/>
    <w:semiHidden/>
    <w:unhideWhenUsed/>
    <w:rsid w:val="00F1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C29"/>
    <w:rPr>
      <w:rFonts w:ascii="Tahoma" w:hAnsi="Tahoma" w:cs="Tahoma"/>
      <w:sz w:val="16"/>
      <w:szCs w:val="16"/>
    </w:rPr>
  </w:style>
  <w:style w:type="character" w:customStyle="1" w:styleId="fontstyle01">
    <w:name w:val="fontstyle01"/>
    <w:basedOn w:val="DefaultParagraphFont"/>
    <w:rsid w:val="00800D36"/>
    <w:rPr>
      <w:rFonts w:ascii="TimesNewRomanPSMT" w:hAnsi="TimesNewRomanPSMT" w:hint="default"/>
      <w:b w:val="0"/>
      <w:bCs w:val="0"/>
      <w:i w:val="0"/>
      <w:iCs w:val="0"/>
      <w:color w:val="000000"/>
      <w:sz w:val="20"/>
      <w:szCs w:val="20"/>
    </w:rPr>
  </w:style>
  <w:style w:type="character" w:styleId="Hyperlink">
    <w:name w:val="Hyperlink"/>
    <w:basedOn w:val="DefaultParagraphFont"/>
    <w:uiPriority w:val="99"/>
    <w:unhideWhenUsed/>
    <w:rsid w:val="00AC4527"/>
    <w:rPr>
      <w:color w:val="0563C1" w:themeColor="hyperlink"/>
      <w:u w:val="single"/>
    </w:rPr>
  </w:style>
  <w:style w:type="paragraph" w:styleId="Header">
    <w:name w:val="header"/>
    <w:basedOn w:val="Normal"/>
    <w:link w:val="HeaderChar"/>
    <w:uiPriority w:val="99"/>
    <w:unhideWhenUsed/>
    <w:rsid w:val="00D00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196"/>
  </w:style>
  <w:style w:type="paragraph" w:styleId="Footer">
    <w:name w:val="footer"/>
    <w:basedOn w:val="Normal"/>
    <w:link w:val="FooterChar"/>
    <w:uiPriority w:val="99"/>
    <w:unhideWhenUsed/>
    <w:rsid w:val="00D00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196"/>
  </w:style>
  <w:style w:type="paragraph" w:styleId="NormalWeb">
    <w:name w:val="Normal (Web)"/>
    <w:basedOn w:val="Normal"/>
    <w:uiPriority w:val="99"/>
    <w:unhideWhenUsed/>
    <w:rsid w:val="003357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tml-x">
    <w:name w:val="html-x"/>
    <w:basedOn w:val="Normal"/>
    <w:rsid w:val="00E334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E334F5"/>
  </w:style>
  <w:style w:type="paragraph" w:customStyle="1" w:styleId="html-xx">
    <w:name w:val="html-xx"/>
    <w:basedOn w:val="Normal"/>
    <w:rsid w:val="00E334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334F5"/>
    <w:pPr>
      <w:ind w:left="720"/>
      <w:contextualSpacing/>
    </w:pPr>
  </w:style>
  <w:style w:type="paragraph" w:styleId="Revision">
    <w:name w:val="Revision"/>
    <w:hidden/>
    <w:uiPriority w:val="99"/>
    <w:semiHidden/>
    <w:rsid w:val="00C07C2D"/>
    <w:pPr>
      <w:spacing w:after="0" w:line="240" w:lineRule="auto"/>
    </w:pPr>
  </w:style>
  <w:style w:type="character" w:customStyle="1" w:styleId="UnresolvedMention1">
    <w:name w:val="Unresolved Mention1"/>
    <w:basedOn w:val="DefaultParagraphFont"/>
    <w:uiPriority w:val="99"/>
    <w:semiHidden/>
    <w:unhideWhenUsed/>
    <w:rsid w:val="00EE5DAB"/>
    <w:rPr>
      <w:color w:val="605E5C"/>
      <w:shd w:val="clear" w:color="auto" w:fill="E1DFDD"/>
    </w:rPr>
  </w:style>
  <w:style w:type="character" w:customStyle="1" w:styleId="Heading5Char">
    <w:name w:val="Heading 5 Char"/>
    <w:basedOn w:val="DefaultParagraphFont"/>
    <w:link w:val="Heading5"/>
    <w:uiPriority w:val="9"/>
    <w:rsid w:val="00EE5DAB"/>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EE5DAB"/>
    <w:rPr>
      <w:rFonts w:ascii="Times New Roman" w:eastAsia="Times New Roman" w:hAnsi="Times New Roman" w:cs="Times New Roman"/>
      <w:b/>
      <w:bCs/>
      <w:sz w:val="44"/>
      <w:szCs w:val="44"/>
    </w:rPr>
  </w:style>
  <w:style w:type="character" w:customStyle="1" w:styleId="Heading2Char">
    <w:name w:val="Heading 2 Char"/>
    <w:aliases w:val="Title 02 Char"/>
    <w:basedOn w:val="DefaultParagraphFont"/>
    <w:link w:val="Heading2"/>
    <w:uiPriority w:val="9"/>
    <w:rsid w:val="00EE5DA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EE5DAB"/>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EE5DAB"/>
    <w:rPr>
      <w:rFonts w:asciiTheme="majorHAnsi" w:eastAsiaTheme="majorEastAsia" w:hAnsiTheme="majorHAnsi" w:cstheme="majorBidi"/>
      <w:color w:val="1F4D78" w:themeColor="accent1" w:themeShade="7F"/>
    </w:rPr>
  </w:style>
  <w:style w:type="paragraph" w:customStyle="1" w:styleId="TableParagraph">
    <w:name w:val="Table Paragraph"/>
    <w:basedOn w:val="Normal"/>
    <w:uiPriority w:val="1"/>
    <w:qFormat/>
    <w:rsid w:val="00EE5DAB"/>
    <w:pPr>
      <w:widowControl w:val="0"/>
      <w:autoSpaceDE w:val="0"/>
      <w:autoSpaceDN w:val="0"/>
      <w:spacing w:after="0" w:line="240" w:lineRule="auto"/>
    </w:pPr>
    <w:rPr>
      <w:rFonts w:ascii="Arial MT" w:eastAsia="Arial MT" w:hAnsi="Arial MT" w:cs="Arial MT"/>
    </w:rPr>
  </w:style>
  <w:style w:type="paragraph" w:styleId="z-TopofForm">
    <w:name w:val="HTML Top of Form"/>
    <w:basedOn w:val="Normal"/>
    <w:next w:val="Normal"/>
    <w:link w:val="z-TopofFormChar"/>
    <w:hidden/>
    <w:uiPriority w:val="99"/>
    <w:semiHidden/>
    <w:unhideWhenUsed/>
    <w:rsid w:val="00EE5DA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E5DAB"/>
    <w:rPr>
      <w:rFonts w:ascii="Arial" w:eastAsia="Times New Roman" w:hAnsi="Arial" w:cs="Arial"/>
      <w:vanish/>
      <w:sz w:val="16"/>
      <w:szCs w:val="16"/>
    </w:rPr>
  </w:style>
  <w:style w:type="paragraph" w:styleId="TOC2">
    <w:name w:val="toc 2"/>
    <w:basedOn w:val="Normal"/>
    <w:uiPriority w:val="39"/>
    <w:qFormat/>
    <w:rsid w:val="00EE5DAB"/>
    <w:pPr>
      <w:widowControl w:val="0"/>
      <w:autoSpaceDE w:val="0"/>
      <w:autoSpaceDN w:val="0"/>
      <w:spacing w:before="122" w:after="0" w:line="240" w:lineRule="auto"/>
      <w:ind w:left="1100" w:hanging="360"/>
    </w:pPr>
    <w:rPr>
      <w:rFonts w:ascii="Times New Roman" w:eastAsia="Times New Roman" w:hAnsi="Times New Roman" w:cs="Times New Roman"/>
      <w:sz w:val="24"/>
      <w:szCs w:val="24"/>
    </w:rPr>
  </w:style>
  <w:style w:type="character" w:customStyle="1" w:styleId="nlmarticle-title">
    <w:name w:val="nlm_article-title"/>
    <w:basedOn w:val="DefaultParagraphFont"/>
    <w:rsid w:val="00EE5DAB"/>
  </w:style>
  <w:style w:type="character" w:customStyle="1" w:styleId="nlmfpage">
    <w:name w:val="nlm_fpage"/>
    <w:basedOn w:val="DefaultParagraphFont"/>
    <w:rsid w:val="00EE5DAB"/>
  </w:style>
  <w:style w:type="character" w:customStyle="1" w:styleId="nlmlpage">
    <w:name w:val="nlm_lpage"/>
    <w:basedOn w:val="DefaultParagraphFont"/>
    <w:rsid w:val="00EE5DAB"/>
  </w:style>
  <w:style w:type="character" w:customStyle="1" w:styleId="reflink-block">
    <w:name w:val="reflink-block"/>
    <w:basedOn w:val="DefaultParagraphFont"/>
    <w:rsid w:val="00EE5DAB"/>
  </w:style>
  <w:style w:type="character" w:customStyle="1" w:styleId="xlinks-container">
    <w:name w:val="xlinks-container"/>
    <w:basedOn w:val="DefaultParagraphFont"/>
    <w:rsid w:val="00EE5DAB"/>
  </w:style>
  <w:style w:type="character" w:customStyle="1" w:styleId="googlescholar-container">
    <w:name w:val="googlescholar-container"/>
    <w:basedOn w:val="DefaultParagraphFont"/>
    <w:rsid w:val="00EE5DAB"/>
  </w:style>
  <w:style w:type="character" w:customStyle="1" w:styleId="nlmpub-id">
    <w:name w:val="nlm_pub-id"/>
    <w:basedOn w:val="DefaultParagraphFont"/>
    <w:rsid w:val="00EE5DAB"/>
  </w:style>
  <w:style w:type="paragraph" w:customStyle="1" w:styleId="Style1">
    <w:name w:val="Style1"/>
    <w:basedOn w:val="BodyText"/>
    <w:link w:val="Style1Char"/>
    <w:uiPriority w:val="1"/>
    <w:qFormat/>
    <w:rsid w:val="00EE5DAB"/>
    <w:pPr>
      <w:spacing w:before="182" w:line="501" w:lineRule="auto"/>
      <w:ind w:left="0" w:right="3720" w:hanging="10"/>
    </w:pPr>
    <w:rPr>
      <w:b/>
      <w:bCs/>
      <w:sz w:val="32"/>
      <w:szCs w:val="32"/>
    </w:rPr>
  </w:style>
  <w:style w:type="paragraph" w:styleId="TOCHeading">
    <w:name w:val="TOC Heading"/>
    <w:basedOn w:val="Heading1"/>
    <w:next w:val="Normal"/>
    <w:uiPriority w:val="39"/>
    <w:unhideWhenUsed/>
    <w:qFormat/>
    <w:rsid w:val="00EE5DA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character" w:customStyle="1" w:styleId="Style1Char">
    <w:name w:val="Style1 Char"/>
    <w:basedOn w:val="BodyTextChar"/>
    <w:link w:val="Style1"/>
    <w:uiPriority w:val="1"/>
    <w:rsid w:val="00EE5DAB"/>
    <w:rPr>
      <w:rFonts w:ascii="Times New Roman" w:eastAsia="Times New Roman" w:hAnsi="Times New Roman" w:cs="Times New Roman"/>
      <w:b/>
      <w:bCs/>
      <w:sz w:val="32"/>
      <w:szCs w:val="32"/>
    </w:rPr>
  </w:style>
  <w:style w:type="paragraph" w:styleId="TOC1">
    <w:name w:val="toc 1"/>
    <w:basedOn w:val="Normal"/>
    <w:next w:val="Normal"/>
    <w:autoRedefine/>
    <w:uiPriority w:val="39"/>
    <w:unhideWhenUsed/>
    <w:rsid w:val="00EE5DAB"/>
    <w:pPr>
      <w:widowControl w:val="0"/>
      <w:tabs>
        <w:tab w:val="right" w:leader="dot" w:pos="10480"/>
      </w:tabs>
      <w:autoSpaceDE w:val="0"/>
      <w:autoSpaceDN w:val="0"/>
      <w:spacing w:after="100" w:line="240" w:lineRule="auto"/>
    </w:pPr>
    <w:rPr>
      <w:rFonts w:asciiTheme="majorBidi" w:eastAsia="Arial MT" w:hAnsiTheme="majorBidi" w:cstheme="majorBidi"/>
      <w:b/>
      <w:bCs/>
      <w:noProof/>
    </w:rPr>
  </w:style>
  <w:style w:type="paragraph" w:styleId="TOC3">
    <w:name w:val="toc 3"/>
    <w:basedOn w:val="Normal"/>
    <w:next w:val="Normal"/>
    <w:autoRedefine/>
    <w:uiPriority w:val="39"/>
    <w:unhideWhenUsed/>
    <w:rsid w:val="00EE5DAB"/>
    <w:pPr>
      <w:widowControl w:val="0"/>
      <w:tabs>
        <w:tab w:val="left" w:pos="1100"/>
        <w:tab w:val="right" w:leader="dot" w:pos="10480"/>
      </w:tabs>
      <w:autoSpaceDE w:val="0"/>
      <w:autoSpaceDN w:val="0"/>
      <w:spacing w:after="100" w:line="240" w:lineRule="auto"/>
      <w:ind w:left="440"/>
    </w:pPr>
    <w:rPr>
      <w:rFonts w:asciiTheme="majorBidi" w:eastAsia="Arial MT" w:hAnsiTheme="majorBidi" w:cs="Arial MT"/>
      <w:b/>
      <w:bCs/>
      <w:noProof/>
    </w:rPr>
  </w:style>
  <w:style w:type="character" w:styleId="Emphasis">
    <w:name w:val="Emphasis"/>
    <w:basedOn w:val="DefaultParagraphFont"/>
    <w:uiPriority w:val="20"/>
    <w:qFormat/>
    <w:rsid w:val="00EE5DAB"/>
    <w:rPr>
      <w:i/>
      <w:iCs/>
    </w:rPr>
  </w:style>
  <w:style w:type="character" w:styleId="CommentReference">
    <w:name w:val="annotation reference"/>
    <w:basedOn w:val="DefaultParagraphFont"/>
    <w:uiPriority w:val="99"/>
    <w:semiHidden/>
    <w:unhideWhenUsed/>
    <w:rsid w:val="00EE5DAB"/>
    <w:rPr>
      <w:sz w:val="16"/>
      <w:szCs w:val="16"/>
    </w:rPr>
  </w:style>
  <w:style w:type="paragraph" w:styleId="CommentText">
    <w:name w:val="annotation text"/>
    <w:basedOn w:val="Normal"/>
    <w:link w:val="CommentTextChar"/>
    <w:uiPriority w:val="99"/>
    <w:semiHidden/>
    <w:unhideWhenUsed/>
    <w:rsid w:val="00EE5DAB"/>
    <w:pPr>
      <w:widowControl w:val="0"/>
      <w:autoSpaceDE w:val="0"/>
      <w:autoSpaceDN w:val="0"/>
      <w:spacing w:after="0" w:line="240" w:lineRule="auto"/>
    </w:pPr>
    <w:rPr>
      <w:rFonts w:ascii="Arial MT" w:eastAsia="Arial MT" w:hAnsi="Arial MT" w:cs="Arial MT"/>
      <w:sz w:val="20"/>
      <w:szCs w:val="20"/>
    </w:rPr>
  </w:style>
  <w:style w:type="character" w:customStyle="1" w:styleId="CommentTextChar">
    <w:name w:val="Comment Text Char"/>
    <w:basedOn w:val="DefaultParagraphFont"/>
    <w:link w:val="CommentText"/>
    <w:uiPriority w:val="99"/>
    <w:semiHidden/>
    <w:rsid w:val="00EE5DAB"/>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EE5DAB"/>
    <w:rPr>
      <w:b/>
      <w:bCs/>
    </w:rPr>
  </w:style>
  <w:style w:type="character" w:customStyle="1" w:styleId="CommentSubjectChar">
    <w:name w:val="Comment Subject Char"/>
    <w:basedOn w:val="CommentTextChar"/>
    <w:link w:val="CommentSubject"/>
    <w:uiPriority w:val="99"/>
    <w:semiHidden/>
    <w:rsid w:val="00EE5DAB"/>
    <w:rPr>
      <w:rFonts w:ascii="Arial MT" w:eastAsia="Arial MT" w:hAnsi="Arial MT" w:cs="Arial MT"/>
      <w:b/>
      <w:bCs/>
      <w:sz w:val="20"/>
      <w:szCs w:val="20"/>
    </w:rPr>
  </w:style>
  <w:style w:type="paragraph" w:customStyle="1" w:styleId="MDPI12title">
    <w:name w:val="MDPI_1.2_title"/>
    <w:next w:val="Normal"/>
    <w:qFormat/>
    <w:rsid w:val="001E6653"/>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1E6653"/>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6affiliation">
    <w:name w:val="MDPI_1.6_affiliation"/>
    <w:qFormat/>
    <w:rsid w:val="001E6653"/>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Papertiltle">
    <w:name w:val="Paper tiltle"/>
    <w:basedOn w:val="Normal"/>
    <w:link w:val="PapertiltleChar"/>
    <w:qFormat/>
    <w:rsid w:val="009645AB"/>
    <w:pPr>
      <w:spacing w:after="360" w:line="360" w:lineRule="auto"/>
      <w:jc w:val="center"/>
    </w:pPr>
    <w:rPr>
      <w:rFonts w:ascii="Times New Roman" w:hAnsi="Times New Roman" w:cs="Times New Roman"/>
      <w:b/>
      <w:sz w:val="32"/>
      <w:szCs w:val="36"/>
    </w:rPr>
  </w:style>
  <w:style w:type="character" w:customStyle="1" w:styleId="PapertiltleChar">
    <w:name w:val="Paper tiltle Char"/>
    <w:basedOn w:val="DefaultParagraphFont"/>
    <w:link w:val="Papertiltle"/>
    <w:rsid w:val="009645AB"/>
    <w:rPr>
      <w:rFonts w:ascii="Times New Roman" w:hAnsi="Times New Roman" w:cs="Times New Roman"/>
      <w:b/>
      <w:sz w:val="32"/>
      <w:szCs w:val="36"/>
    </w:rPr>
  </w:style>
  <w:style w:type="paragraph" w:customStyle="1" w:styleId="ABBSTRACTB">
    <w:name w:val="ABBSTRACTB"/>
    <w:basedOn w:val="Normal"/>
    <w:link w:val="ABBSTRACTBChar"/>
    <w:qFormat/>
    <w:rsid w:val="009645AB"/>
    <w:pPr>
      <w:spacing w:line="220" w:lineRule="exact"/>
      <w:jc w:val="both"/>
    </w:pPr>
    <w:rPr>
      <w:rFonts w:ascii="Times New Roman" w:hAnsi="Times New Roman"/>
      <w:sz w:val="15"/>
    </w:rPr>
  </w:style>
  <w:style w:type="character" w:customStyle="1" w:styleId="ABBSTRACTBChar">
    <w:name w:val="ABBSTRACTB Char"/>
    <w:basedOn w:val="DefaultParagraphFont"/>
    <w:link w:val="ABBSTRACTB"/>
    <w:rsid w:val="009645AB"/>
    <w:rPr>
      <w:rFonts w:ascii="Times New Roman" w:hAnsi="Times New Roman"/>
      <w:sz w:val="15"/>
    </w:rPr>
  </w:style>
  <w:style w:type="paragraph" w:customStyle="1" w:styleId="paperbody">
    <w:name w:val="paper body"/>
    <w:basedOn w:val="Normal"/>
    <w:link w:val="paperbodyChar"/>
    <w:qFormat/>
    <w:rsid w:val="009645AB"/>
    <w:pPr>
      <w:spacing w:after="120" w:line="220" w:lineRule="exact"/>
      <w:jc w:val="both"/>
    </w:pPr>
    <w:rPr>
      <w:rFonts w:ascii="Times New Roman" w:hAnsi="Times New Roman"/>
      <w:color w:val="000000" w:themeColor="text1"/>
      <w:sz w:val="16"/>
    </w:rPr>
  </w:style>
  <w:style w:type="character" w:customStyle="1" w:styleId="paperbodyChar">
    <w:name w:val="paper body Char"/>
    <w:basedOn w:val="DefaultParagraphFont"/>
    <w:link w:val="paperbody"/>
    <w:rsid w:val="009645AB"/>
    <w:rPr>
      <w:rFonts w:ascii="Times New Roman" w:hAnsi="Times New Roman"/>
      <w:color w:val="000000" w:themeColor="text1"/>
      <w:sz w:val="16"/>
    </w:rPr>
  </w:style>
  <w:style w:type="paragraph" w:customStyle="1" w:styleId="Table">
    <w:name w:val="Table"/>
    <w:basedOn w:val="paperbody"/>
    <w:link w:val="TableChar"/>
    <w:qFormat/>
    <w:rsid w:val="009645AB"/>
    <w:pPr>
      <w:spacing w:after="0" w:line="240" w:lineRule="atLeast"/>
      <w:jc w:val="center"/>
    </w:pPr>
    <w:rPr>
      <w:b/>
    </w:rPr>
  </w:style>
  <w:style w:type="character" w:customStyle="1" w:styleId="TableChar">
    <w:name w:val="Table Char"/>
    <w:basedOn w:val="paperbodyChar"/>
    <w:link w:val="Table"/>
    <w:rsid w:val="009645AB"/>
    <w:rPr>
      <w:rFonts w:ascii="Times New Roman" w:hAnsi="Times New Roman"/>
      <w:b/>
      <w:color w:val="000000" w:themeColor="text1"/>
      <w:sz w:val="16"/>
    </w:rPr>
  </w:style>
  <w:style w:type="character" w:customStyle="1" w:styleId="Heading7Char">
    <w:name w:val="Heading 7 Char"/>
    <w:basedOn w:val="DefaultParagraphFont"/>
    <w:link w:val="Heading7"/>
    <w:uiPriority w:val="9"/>
    <w:semiHidden/>
    <w:rsid w:val="009645A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645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45AB"/>
    <w:rPr>
      <w:rFonts w:asciiTheme="majorHAnsi" w:eastAsiaTheme="majorEastAsia" w:hAnsiTheme="majorHAnsi" w:cstheme="majorBidi"/>
      <w:i/>
      <w:iCs/>
      <w:color w:val="272727" w:themeColor="text1" w:themeTint="D8"/>
      <w:sz w:val="21"/>
      <w:szCs w:val="21"/>
    </w:rPr>
  </w:style>
  <w:style w:type="paragraph" w:customStyle="1" w:styleId="ABTRACT">
    <w:name w:val="ABTRACT"/>
    <w:basedOn w:val="Normal"/>
    <w:link w:val="ABTRACTChar"/>
    <w:qFormat/>
    <w:rsid w:val="009645AB"/>
    <w:pPr>
      <w:spacing w:after="240" w:line="240" w:lineRule="auto"/>
    </w:pPr>
    <w:rPr>
      <w:b/>
      <w:i/>
      <w:spacing w:val="40"/>
      <w:sz w:val="18"/>
    </w:rPr>
  </w:style>
  <w:style w:type="character" w:customStyle="1" w:styleId="ABTRACTChar">
    <w:name w:val="ABTRACT Char"/>
    <w:basedOn w:val="DefaultParagraphFont"/>
    <w:link w:val="ABTRACT"/>
    <w:rsid w:val="009645AB"/>
    <w:rPr>
      <w:b/>
      <w:i/>
      <w:spacing w:val="40"/>
      <w:sz w:val="18"/>
    </w:rPr>
  </w:style>
  <w:style w:type="character" w:customStyle="1" w:styleId="HeaderChar1">
    <w:name w:val="Header Char1"/>
    <w:basedOn w:val="DefaultParagraphFont"/>
    <w:uiPriority w:val="99"/>
    <w:semiHidden/>
    <w:rsid w:val="009645AB"/>
  </w:style>
  <w:style w:type="paragraph" w:styleId="Bibliography">
    <w:name w:val="Bibliography"/>
    <w:basedOn w:val="Normal"/>
    <w:next w:val="Normal"/>
    <w:uiPriority w:val="37"/>
    <w:unhideWhenUsed/>
    <w:rsid w:val="009645AB"/>
    <w:pPr>
      <w:spacing w:after="0" w:line="480" w:lineRule="auto"/>
      <w:ind w:left="720" w:hanging="720"/>
    </w:pPr>
  </w:style>
  <w:style w:type="character" w:styleId="UnresolvedMention">
    <w:name w:val="Unresolved Mention"/>
    <w:basedOn w:val="DefaultParagraphFont"/>
    <w:uiPriority w:val="99"/>
    <w:semiHidden/>
    <w:unhideWhenUsed/>
    <w:rsid w:val="00ED6A54"/>
    <w:rPr>
      <w:color w:val="605E5C"/>
      <w:shd w:val="clear" w:color="auto" w:fill="E1DFDD"/>
    </w:rPr>
  </w:style>
  <w:style w:type="character" w:styleId="FollowedHyperlink">
    <w:name w:val="FollowedHyperlink"/>
    <w:basedOn w:val="DefaultParagraphFont"/>
    <w:uiPriority w:val="99"/>
    <w:semiHidden/>
    <w:unhideWhenUsed/>
    <w:rsid w:val="00ED6A54"/>
    <w:rPr>
      <w:color w:val="954F72" w:themeColor="followedHyperlink"/>
      <w:u w:val="single"/>
    </w:rPr>
  </w:style>
  <w:style w:type="character" w:customStyle="1" w:styleId="Heading2Char1">
    <w:name w:val="Heading 2 Char1"/>
    <w:aliases w:val="Title 02 Char1"/>
    <w:basedOn w:val="DefaultParagraphFont"/>
    <w:uiPriority w:val="9"/>
    <w:semiHidden/>
    <w:rsid w:val="00ED6A54"/>
    <w:rPr>
      <w:rFonts w:asciiTheme="majorHAnsi" w:eastAsiaTheme="majorEastAsia" w:hAnsiTheme="majorHAnsi" w:cstheme="majorBidi"/>
      <w:color w:val="2E74B5" w:themeColor="accent1" w:themeShade="BF"/>
      <w:kern w:val="2"/>
      <w:sz w:val="26"/>
      <w:szCs w:val="26"/>
      <w14:ligatures w14:val="standardContextual"/>
    </w:rPr>
  </w:style>
  <w:style w:type="paragraph" w:customStyle="1" w:styleId="msonormal0">
    <w:name w:val="msonormal"/>
    <w:basedOn w:val="Normal"/>
    <w:rsid w:val="00ED6A54"/>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ED6A54"/>
    <w:pPr>
      <w:spacing w:after="0" w:line="240" w:lineRule="auto"/>
    </w:pPr>
    <w:rPr>
      <w:kern w:val="2"/>
      <w:lang w:val="en-GB"/>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D6A54"/>
    <w:pPr>
      <w:spacing w:after="0" w:line="240" w:lineRule="auto"/>
    </w:pPr>
    <w:rPr>
      <w:kern w:val="2"/>
      <w:lang w:val="en-GB"/>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425342">
      <w:bodyDiv w:val="1"/>
      <w:marLeft w:val="0"/>
      <w:marRight w:val="0"/>
      <w:marTop w:val="0"/>
      <w:marBottom w:val="0"/>
      <w:divBdr>
        <w:top w:val="none" w:sz="0" w:space="0" w:color="auto"/>
        <w:left w:val="none" w:sz="0" w:space="0" w:color="auto"/>
        <w:bottom w:val="none" w:sz="0" w:space="0" w:color="auto"/>
        <w:right w:val="none" w:sz="0" w:space="0" w:color="auto"/>
      </w:divBdr>
    </w:div>
    <w:div w:id="768311260">
      <w:bodyDiv w:val="1"/>
      <w:marLeft w:val="0"/>
      <w:marRight w:val="0"/>
      <w:marTop w:val="0"/>
      <w:marBottom w:val="0"/>
      <w:divBdr>
        <w:top w:val="none" w:sz="0" w:space="0" w:color="auto"/>
        <w:left w:val="none" w:sz="0" w:space="0" w:color="auto"/>
        <w:bottom w:val="none" w:sz="0" w:space="0" w:color="auto"/>
        <w:right w:val="none" w:sz="0" w:space="0" w:color="auto"/>
      </w:divBdr>
    </w:div>
    <w:div w:id="915823701">
      <w:bodyDiv w:val="1"/>
      <w:marLeft w:val="0"/>
      <w:marRight w:val="0"/>
      <w:marTop w:val="0"/>
      <w:marBottom w:val="0"/>
      <w:divBdr>
        <w:top w:val="none" w:sz="0" w:space="0" w:color="auto"/>
        <w:left w:val="none" w:sz="0" w:space="0" w:color="auto"/>
        <w:bottom w:val="none" w:sz="0" w:space="0" w:color="auto"/>
        <w:right w:val="none" w:sz="0" w:space="0" w:color="auto"/>
      </w:divBdr>
    </w:div>
    <w:div w:id="1849129291">
      <w:bodyDiv w:val="1"/>
      <w:marLeft w:val="0"/>
      <w:marRight w:val="0"/>
      <w:marTop w:val="0"/>
      <w:marBottom w:val="0"/>
      <w:divBdr>
        <w:top w:val="none" w:sz="0" w:space="0" w:color="auto"/>
        <w:left w:val="none" w:sz="0" w:space="0" w:color="auto"/>
        <w:bottom w:val="none" w:sz="0" w:space="0" w:color="auto"/>
        <w:right w:val="none" w:sz="0" w:space="0" w:color="auto"/>
      </w:divBdr>
    </w:div>
    <w:div w:id="1899197706">
      <w:bodyDiv w:val="1"/>
      <w:marLeft w:val="0"/>
      <w:marRight w:val="0"/>
      <w:marTop w:val="0"/>
      <w:marBottom w:val="0"/>
      <w:divBdr>
        <w:top w:val="none" w:sz="0" w:space="0" w:color="auto"/>
        <w:left w:val="none" w:sz="0" w:space="0" w:color="auto"/>
        <w:bottom w:val="none" w:sz="0" w:space="0" w:color="auto"/>
        <w:right w:val="none" w:sz="0" w:space="0" w:color="auto"/>
      </w:divBdr>
    </w:div>
    <w:div w:id="197729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mailto:afedullah@uetpeshawar.edu.pk"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6039A76-4F1C-4B33-B1D1-4094ABAF4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Pages>
  <Words>3662</Words>
  <Characters>52172</Characters>
  <Application>Microsoft Office Word</Application>
  <DocSecurity>0</DocSecurity>
  <Lines>434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dc:creator>
  <cp:lastModifiedBy>Bratly</cp:lastModifiedBy>
  <cp:revision>86</cp:revision>
  <cp:lastPrinted>2025-07-26T07:05:00Z</cp:lastPrinted>
  <dcterms:created xsi:type="dcterms:W3CDTF">2023-11-14T19:16:00Z</dcterms:created>
  <dcterms:modified xsi:type="dcterms:W3CDTF">2025-07-26T07:05:00Z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fbea7ec1-4981-33bd-be53-13675926e2c9</vt:lpwstr>
  </property>
  <property fmtid="{D5CDD505-2E9C-101B-9397-08002B2CF9AE}" pid="24" name="Mendeley Citation Style_1">
    <vt:lpwstr>http://www.zotero.org/styles/ieee</vt:lpwstr>
  </property>
  <property fmtid="{D5CDD505-2E9C-101B-9397-08002B2CF9AE}" pid="25" name="GrammarlyDocumentId">
    <vt:lpwstr>ac628b6a9b6abcc6d85ff448484f3aee0349863ae028f991e0c2f37c3ccb3f1a</vt:lpwstr>
  </property>
</Properties>
</file>