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5848"/>
      </w:tblGrid>
      <w:tr w:rsidR="00D54C09" w:rsidRPr="000101FA" w14:paraId="4A58B122" w14:textId="77777777" w:rsidTr="002A6297">
        <w:trPr>
          <w:trHeight w:val="504"/>
        </w:trPr>
        <w:tc>
          <w:tcPr>
            <w:tcW w:w="3062" w:type="dxa"/>
            <w:hideMark/>
          </w:tcPr>
          <w:p w14:paraId="553B470D" w14:textId="7477E831" w:rsidR="00F15C29" w:rsidRPr="000101FA" w:rsidRDefault="005E2B1A" w:rsidP="6F90D69E">
            <w:pPr>
              <w:tabs>
                <w:tab w:val="left" w:pos="7479"/>
              </w:tabs>
              <w:jc w:val="both"/>
              <w:rPr>
                <w:rFonts w:ascii="Garamond" w:eastAsia="Garamond" w:hAnsi="Garamond" w:cs="Garamond"/>
                <w:color w:val="000000" w:themeColor="text1"/>
                <w:sz w:val="24"/>
                <w:szCs w:val="24"/>
              </w:rPr>
            </w:pPr>
            <w:r w:rsidRPr="000101FA">
              <w:rPr>
                <w:rFonts w:ascii="Garamond" w:hAnsi="Garamond"/>
                <w:noProof/>
                <w:color w:val="000000" w:themeColor="text1"/>
                <w:sz w:val="24"/>
                <w:szCs w:val="24"/>
              </w:rPr>
              <w:drawing>
                <wp:inline distT="0" distB="0" distL="0" distR="0" wp14:anchorId="371396DD" wp14:editId="45D9CA97">
                  <wp:extent cx="1488379" cy="545910"/>
                  <wp:effectExtent l="0" t="0" r="0" b="6985"/>
                  <wp:docPr id="18896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379" cy="545910"/>
                          </a:xfrm>
                          <a:prstGeom prst="rect">
                            <a:avLst/>
                          </a:prstGeom>
                        </pic:spPr>
                      </pic:pic>
                    </a:graphicData>
                  </a:graphic>
                </wp:inline>
              </w:drawing>
            </w:r>
          </w:p>
        </w:tc>
        <w:tc>
          <w:tcPr>
            <w:tcW w:w="5848" w:type="dxa"/>
            <w:hideMark/>
          </w:tcPr>
          <w:p w14:paraId="5E219B89" w14:textId="44144E47" w:rsidR="00F15C29" w:rsidRPr="000101FA" w:rsidRDefault="00C07C2D" w:rsidP="6F90D69E">
            <w:pPr>
              <w:tabs>
                <w:tab w:val="left" w:pos="7479"/>
              </w:tabs>
              <w:ind w:firstLine="2"/>
              <w:jc w:val="right"/>
              <w:rPr>
                <w:rFonts w:ascii="Garamond" w:eastAsia="Garamond" w:hAnsi="Garamond" w:cs="Garamond"/>
                <w:color w:val="000000" w:themeColor="text1"/>
                <w:sz w:val="24"/>
                <w:szCs w:val="24"/>
              </w:rPr>
            </w:pPr>
            <w:r w:rsidRPr="000101FA">
              <w:rPr>
                <w:rFonts w:ascii="Garamond" w:hAnsi="Garamond"/>
                <w:noProof/>
                <w:color w:val="000000" w:themeColor="text1"/>
                <w:sz w:val="24"/>
                <w:szCs w:val="24"/>
              </w:rPr>
              <w:drawing>
                <wp:inline distT="0" distB="0" distL="0" distR="0" wp14:anchorId="5A0BCACA" wp14:editId="474F29C3">
                  <wp:extent cx="670720" cy="54546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22580"/>
                          <a:stretch/>
                        </pic:blipFill>
                        <pic:spPr bwMode="auto">
                          <a:xfrm>
                            <a:off x="0" y="0"/>
                            <a:ext cx="677070" cy="5506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37ECB6" w14:textId="79F12D83" w:rsidR="006E1132" w:rsidRPr="004D7E55" w:rsidRDefault="006E1132" w:rsidP="006E1132">
      <w:pPr>
        <w:spacing w:after="0" w:line="240" w:lineRule="auto"/>
        <w:jc w:val="center"/>
        <w:rPr>
          <w:rFonts w:ascii="Garamond" w:hAnsi="Garamond"/>
          <w:b/>
          <w:sz w:val="32"/>
          <w:szCs w:val="32"/>
        </w:rPr>
      </w:pPr>
      <w:bookmarkStart w:id="0" w:name="_Hlk14029223"/>
      <w:r w:rsidRPr="004D7E55">
        <w:rPr>
          <w:rFonts w:ascii="Garamond" w:hAnsi="Garamond"/>
          <w:b/>
          <w:sz w:val="32"/>
          <w:szCs w:val="32"/>
        </w:rPr>
        <w:t>Reconstruction of occluded Skeletons using Generative Adversarial Networks for Human Activity Recognition</w:t>
      </w:r>
    </w:p>
    <w:bookmarkEnd w:id="0"/>
    <w:p w14:paraId="6583746B" w14:textId="77777777" w:rsidR="006E1132" w:rsidRPr="002A5C3A" w:rsidRDefault="006E1132" w:rsidP="006E1132">
      <w:pPr>
        <w:spacing w:after="0" w:line="240" w:lineRule="auto"/>
        <w:jc w:val="both"/>
        <w:rPr>
          <w:rFonts w:ascii="Garamond" w:hAnsi="Garamond"/>
          <w:sz w:val="24"/>
          <w:szCs w:val="24"/>
        </w:rPr>
      </w:pPr>
      <w:r w:rsidRPr="002A5C3A">
        <w:rPr>
          <w:rFonts w:ascii="Garamond" w:hAnsi="Garamond"/>
          <w:sz w:val="24"/>
          <w:szCs w:val="24"/>
        </w:rPr>
        <w:t>Hassan Nawaz, Nadeem Anjum</w:t>
      </w:r>
    </w:p>
    <w:p w14:paraId="7F1616E4" w14:textId="76900C3A" w:rsidR="006E1132" w:rsidRPr="002A5C3A" w:rsidRDefault="006E1132" w:rsidP="006E1132">
      <w:pPr>
        <w:spacing w:after="0" w:line="240" w:lineRule="auto"/>
        <w:jc w:val="both"/>
        <w:rPr>
          <w:rFonts w:ascii="Garamond" w:hAnsi="Garamond"/>
          <w:sz w:val="24"/>
          <w:szCs w:val="24"/>
        </w:rPr>
      </w:pPr>
      <w:r w:rsidRPr="002A5C3A">
        <w:rPr>
          <w:rFonts w:ascii="Garamond" w:hAnsi="Garamond"/>
          <w:sz w:val="24"/>
          <w:szCs w:val="24"/>
        </w:rPr>
        <w:t>Capital University of Science and Technology</w:t>
      </w:r>
    </w:p>
    <w:p w14:paraId="1AB96873" w14:textId="7ABE04B2" w:rsidR="00413231" w:rsidRPr="000101FA" w:rsidRDefault="00413231" w:rsidP="00413231">
      <w:pPr>
        <w:spacing w:after="0" w:line="240" w:lineRule="auto"/>
        <w:jc w:val="both"/>
        <w:rPr>
          <w:rFonts w:ascii="Garamond" w:hAnsi="Garamond"/>
          <w:sz w:val="24"/>
          <w:szCs w:val="24"/>
        </w:rPr>
      </w:pPr>
      <w:r w:rsidRPr="000101FA">
        <w:rPr>
          <w:rFonts w:ascii="Garamond" w:hAnsi="Garamond"/>
          <w:sz w:val="24"/>
          <w:szCs w:val="24"/>
        </w:rPr>
        <w:t>*</w:t>
      </w:r>
      <w:r w:rsidRPr="000101FA">
        <w:rPr>
          <w:rFonts w:ascii="Garamond" w:hAnsi="Garamond"/>
          <w:b/>
          <w:bCs/>
          <w:sz w:val="24"/>
          <w:szCs w:val="24"/>
        </w:rPr>
        <w:t>Correspondence</w:t>
      </w:r>
      <w:r w:rsidRPr="000101FA">
        <w:rPr>
          <w:rFonts w:ascii="Garamond" w:hAnsi="Garamond"/>
          <w:sz w:val="24"/>
          <w:szCs w:val="24"/>
        </w:rPr>
        <w:t>:</w:t>
      </w:r>
      <w:r w:rsidR="006E1132" w:rsidRPr="006E1132">
        <w:rPr>
          <w:rFonts w:ascii="Garamond" w:hAnsi="Garamond"/>
          <w:sz w:val="24"/>
          <w:szCs w:val="24"/>
        </w:rPr>
        <w:t xml:space="preserve"> </w:t>
      </w:r>
      <w:hyperlink r:id="rId10" w:history="1">
        <w:r w:rsidR="006E1132" w:rsidRPr="00257700">
          <w:rPr>
            <w:rStyle w:val="Hyperlink"/>
            <w:rFonts w:ascii="Garamond" w:hAnsi="Garamond"/>
            <w:sz w:val="24"/>
            <w:szCs w:val="24"/>
          </w:rPr>
          <w:t>hnawaz98@gmail.com</w:t>
        </w:r>
      </w:hyperlink>
    </w:p>
    <w:p w14:paraId="292488AB" w14:textId="77045AE2" w:rsidR="00F15C29" w:rsidRPr="00FC0583" w:rsidRDefault="00F15C29" w:rsidP="6F90D69E">
      <w:pPr>
        <w:pStyle w:val="BodyText"/>
        <w:ind w:left="0"/>
        <w:jc w:val="both"/>
        <w:rPr>
          <w:rFonts w:ascii="Garamond" w:eastAsia="Garamond" w:hAnsi="Garamond" w:cs="Garamond"/>
          <w:color w:val="000000" w:themeColor="text1"/>
        </w:rPr>
      </w:pPr>
      <w:r w:rsidRPr="00AC033E">
        <w:rPr>
          <w:rFonts w:ascii="Garamond" w:eastAsia="Garamond" w:hAnsi="Garamond" w:cs="Garamond"/>
          <w:b/>
          <w:bCs/>
          <w:color w:val="000000" w:themeColor="text1"/>
        </w:rPr>
        <w:t>Citation</w:t>
      </w:r>
      <w:r w:rsidRPr="00AC033E">
        <w:rPr>
          <w:rFonts w:ascii="Garamond" w:eastAsia="Garamond" w:hAnsi="Garamond" w:cs="Garamond"/>
          <w:color w:val="000000" w:themeColor="text1"/>
          <w:w w:val="220"/>
        </w:rPr>
        <w:t>|</w:t>
      </w:r>
      <w:r w:rsidR="004D7E55" w:rsidRPr="00AC033E">
        <w:rPr>
          <w:rFonts w:ascii="Garamond" w:eastAsia="Garamond" w:hAnsi="Garamond" w:cs="Garamond"/>
          <w:color w:val="000000" w:themeColor="text1"/>
          <w:w w:val="220"/>
        </w:rPr>
        <w:t xml:space="preserve"> </w:t>
      </w:r>
      <w:r w:rsidR="004D7E55" w:rsidRPr="00AC033E">
        <w:rPr>
          <w:rFonts w:ascii="Garamond" w:eastAsia="Garamond" w:hAnsi="Garamond" w:cs="Garamond"/>
          <w:color w:val="000000" w:themeColor="text1"/>
          <w:shd w:val="clear" w:color="auto" w:fill="FFFFFF"/>
        </w:rPr>
        <w:t>Nawaz. H</w:t>
      </w:r>
      <w:r w:rsidR="00413231" w:rsidRPr="00AC033E">
        <w:rPr>
          <w:rFonts w:ascii="Garamond" w:eastAsia="Garamond" w:hAnsi="Garamond" w:cs="Garamond"/>
          <w:color w:val="000000" w:themeColor="text1"/>
          <w:shd w:val="clear" w:color="auto" w:fill="FFFFFF"/>
        </w:rPr>
        <w:t>,</w:t>
      </w:r>
      <w:r w:rsidR="00EE5DAB" w:rsidRPr="00AC033E">
        <w:rPr>
          <w:rFonts w:ascii="Garamond" w:eastAsia="Garamond" w:hAnsi="Garamond" w:cs="Garamond"/>
          <w:color w:val="000000" w:themeColor="text1"/>
          <w:shd w:val="clear" w:color="auto" w:fill="FFFFFF"/>
        </w:rPr>
        <w:t xml:space="preserve"> </w:t>
      </w:r>
      <w:r w:rsidR="004D7E55" w:rsidRPr="00AC033E">
        <w:rPr>
          <w:rFonts w:ascii="Garamond" w:eastAsia="Garamond" w:hAnsi="Garamond" w:cs="Garamond"/>
          <w:color w:val="000000" w:themeColor="text1"/>
          <w:shd w:val="clear" w:color="auto" w:fill="FFFFFF"/>
        </w:rPr>
        <w:t xml:space="preserve">Anjum. N, </w:t>
      </w:r>
      <w:r w:rsidRPr="00AC033E">
        <w:rPr>
          <w:rFonts w:ascii="Garamond" w:eastAsia="Garamond" w:hAnsi="Garamond" w:cs="Garamond"/>
          <w:color w:val="000000" w:themeColor="text1"/>
          <w:shd w:val="clear" w:color="auto" w:fill="FFFFFF"/>
        </w:rPr>
        <w:t>“</w:t>
      </w:r>
      <w:r w:rsidR="001F25EC" w:rsidRPr="00AC033E">
        <w:rPr>
          <w:rFonts w:ascii="Garamond" w:eastAsia="Garamond" w:hAnsi="Garamond" w:cs="Garamond"/>
          <w:color w:val="000000" w:themeColor="text1"/>
        </w:rPr>
        <w:t>Reconstruction of occluded Skeletons using Generative Adversarial Networks for Human Ac</w:t>
      </w:r>
      <w:r w:rsidR="001F25EC" w:rsidRPr="00FC0583">
        <w:rPr>
          <w:rFonts w:ascii="Garamond" w:eastAsia="Garamond" w:hAnsi="Garamond" w:cs="Garamond"/>
          <w:color w:val="000000" w:themeColor="text1"/>
        </w:rPr>
        <w:t>tivity Recognition</w:t>
      </w:r>
      <w:r w:rsidR="00ED6A54" w:rsidRPr="00FC0583">
        <w:rPr>
          <w:rFonts w:ascii="Garamond" w:eastAsia="Garamond" w:hAnsi="Garamond" w:cs="Garamond"/>
          <w:color w:val="000000" w:themeColor="text1"/>
        </w:rPr>
        <w:t>”</w:t>
      </w:r>
      <w:r w:rsidRPr="00FC0583">
        <w:rPr>
          <w:rFonts w:ascii="Garamond" w:eastAsia="Garamond" w:hAnsi="Garamond" w:cs="Garamond"/>
          <w:color w:val="000000" w:themeColor="text1"/>
          <w:shd w:val="clear" w:color="auto" w:fill="FFFFFF"/>
        </w:rPr>
        <w:t>,</w:t>
      </w:r>
      <w:r w:rsidR="00E27E36" w:rsidRPr="00FC0583">
        <w:rPr>
          <w:rFonts w:ascii="Garamond" w:eastAsia="Garamond" w:hAnsi="Garamond" w:cs="Garamond"/>
          <w:color w:val="000000" w:themeColor="text1"/>
          <w:shd w:val="clear" w:color="auto" w:fill="FFFFFF"/>
        </w:rPr>
        <w:t xml:space="preserve"> </w:t>
      </w:r>
      <w:r w:rsidRPr="00FC0583">
        <w:rPr>
          <w:rFonts w:ascii="Garamond" w:eastAsia="Garamond" w:hAnsi="Garamond" w:cs="Garamond"/>
          <w:color w:val="000000" w:themeColor="text1"/>
          <w:shd w:val="clear" w:color="auto" w:fill="FFFFFF"/>
        </w:rPr>
        <w:t>IJ</w:t>
      </w:r>
      <w:r w:rsidR="001A4E3F" w:rsidRPr="00FC0583">
        <w:rPr>
          <w:rFonts w:ascii="Garamond" w:eastAsia="Garamond" w:hAnsi="Garamond" w:cs="Garamond"/>
          <w:color w:val="000000" w:themeColor="text1"/>
          <w:shd w:val="clear" w:color="auto" w:fill="FFFFFF"/>
        </w:rPr>
        <w:t>IST</w:t>
      </w:r>
      <w:r w:rsidRPr="00FC0583">
        <w:rPr>
          <w:rFonts w:ascii="Garamond" w:eastAsia="Garamond" w:hAnsi="Garamond" w:cs="Garamond"/>
          <w:color w:val="000000" w:themeColor="text1"/>
          <w:shd w:val="clear" w:color="auto" w:fill="FFFFFF"/>
        </w:rPr>
        <w:t xml:space="preserve">, </w:t>
      </w:r>
      <w:r w:rsidR="001572A1">
        <w:rPr>
          <w:rFonts w:ascii="Garamond" w:eastAsia="Garamond" w:hAnsi="Garamond" w:cs="Garamond"/>
          <w:color w:val="000000" w:themeColor="text1"/>
          <w:shd w:val="clear" w:color="auto" w:fill="FFFFFF"/>
        </w:rPr>
        <w:t>Special Issue</w:t>
      </w:r>
      <w:r w:rsidRPr="00FC0583">
        <w:rPr>
          <w:rFonts w:ascii="Garamond" w:eastAsia="Garamond" w:hAnsi="Garamond" w:cs="Garamond"/>
          <w:color w:val="000000" w:themeColor="text1"/>
          <w:shd w:val="clear" w:color="auto" w:fill="FFFFFF"/>
        </w:rPr>
        <w:t xml:space="preserve"> </w:t>
      </w:r>
      <w:r w:rsidR="00FC0583" w:rsidRPr="00FC0583">
        <w:rPr>
          <w:rFonts w:ascii="Garamond" w:eastAsia="Garamond" w:hAnsi="Garamond" w:cs="Garamond"/>
          <w:noProof/>
          <w:color w:val="000000" w:themeColor="text1"/>
        </w:rPr>
        <w:t>163-176</w:t>
      </w:r>
      <w:r w:rsidRPr="00FC0583">
        <w:rPr>
          <w:rFonts w:ascii="Garamond" w:eastAsia="Garamond" w:hAnsi="Garamond" w:cs="Garamond"/>
          <w:color w:val="000000" w:themeColor="text1"/>
          <w:shd w:val="clear" w:color="auto" w:fill="FFFFFF"/>
        </w:rPr>
        <w:t xml:space="preserve">, </w:t>
      </w:r>
      <w:r w:rsidR="00FC0583" w:rsidRPr="00FC0583">
        <w:rPr>
          <w:rFonts w:ascii="Garamond" w:eastAsia="Garamond" w:hAnsi="Garamond" w:cs="Garamond"/>
          <w:color w:val="000000" w:themeColor="text1"/>
          <w:shd w:val="clear" w:color="auto" w:fill="FFFFFF"/>
        </w:rPr>
        <w:t>December</w:t>
      </w:r>
      <w:r w:rsidR="004E25B0" w:rsidRPr="00FC0583">
        <w:rPr>
          <w:rFonts w:ascii="Garamond" w:eastAsia="Garamond" w:hAnsi="Garamond" w:cs="Garamond"/>
          <w:color w:val="000000" w:themeColor="text1"/>
          <w:shd w:val="clear" w:color="auto" w:fill="FFFFFF"/>
        </w:rPr>
        <w:t xml:space="preserve"> </w:t>
      </w:r>
      <w:r w:rsidRPr="00FC0583">
        <w:rPr>
          <w:rFonts w:ascii="Garamond" w:eastAsia="Garamond" w:hAnsi="Garamond" w:cs="Garamond"/>
          <w:color w:val="000000" w:themeColor="text1"/>
          <w:shd w:val="clear" w:color="auto" w:fill="FFFFFF"/>
        </w:rPr>
        <w:t>202</w:t>
      </w:r>
      <w:r w:rsidR="009464EE" w:rsidRPr="00FC0583">
        <w:rPr>
          <w:rFonts w:ascii="Garamond" w:eastAsia="Garamond" w:hAnsi="Garamond" w:cs="Garamond"/>
          <w:color w:val="000000" w:themeColor="text1"/>
          <w:shd w:val="clear" w:color="auto" w:fill="FFFFFF"/>
        </w:rPr>
        <w:t>5</w:t>
      </w:r>
    </w:p>
    <w:p w14:paraId="6702A80B" w14:textId="2535A5C3" w:rsidR="00F15C29" w:rsidRPr="000101FA" w:rsidRDefault="00D00196" w:rsidP="009B465A">
      <w:pPr>
        <w:pBdr>
          <w:bottom w:val="single" w:sz="4" w:space="0" w:color="auto"/>
        </w:pBdr>
        <w:spacing w:after="0" w:line="240" w:lineRule="auto"/>
        <w:jc w:val="both"/>
        <w:rPr>
          <w:rFonts w:ascii="Garamond" w:eastAsia="Garamond" w:hAnsi="Garamond" w:cs="Garamond"/>
          <w:color w:val="000000" w:themeColor="text1"/>
          <w:w w:val="101"/>
          <w:sz w:val="24"/>
          <w:szCs w:val="24"/>
          <w:highlight w:val="green"/>
        </w:rPr>
      </w:pPr>
      <w:r w:rsidRPr="00FC0583">
        <w:rPr>
          <w:rFonts w:ascii="Garamond" w:eastAsia="Garamond" w:hAnsi="Garamond" w:cs="Garamond"/>
          <w:b/>
          <w:bCs/>
          <w:color w:val="000000" w:themeColor="text1"/>
          <w:w w:val="101"/>
          <w:sz w:val="24"/>
          <w:szCs w:val="24"/>
        </w:rPr>
        <w:t>Received|</w:t>
      </w:r>
      <w:r w:rsidR="0031151F" w:rsidRPr="00FC0583">
        <w:rPr>
          <w:rFonts w:ascii="Garamond" w:eastAsia="Garamond" w:hAnsi="Garamond" w:cs="Garamond"/>
          <w:b/>
          <w:bCs/>
          <w:color w:val="000000" w:themeColor="text1"/>
          <w:w w:val="101"/>
          <w:sz w:val="24"/>
          <w:szCs w:val="24"/>
        </w:rPr>
        <w:t xml:space="preserve"> </w:t>
      </w:r>
      <w:r w:rsidR="001572A1">
        <w:rPr>
          <w:rFonts w:ascii="Garamond" w:eastAsia="Garamond" w:hAnsi="Garamond" w:cs="Garamond"/>
          <w:color w:val="000000" w:themeColor="text1"/>
          <w:sz w:val="24"/>
          <w:szCs w:val="24"/>
          <w:shd w:val="clear" w:color="auto" w:fill="FFFFFF"/>
        </w:rPr>
        <w:t>March</w:t>
      </w:r>
      <w:r w:rsidR="00FC0583" w:rsidRPr="00FC0583">
        <w:rPr>
          <w:rFonts w:ascii="Garamond" w:eastAsia="Garamond" w:hAnsi="Garamond" w:cs="Garamond"/>
          <w:color w:val="000000" w:themeColor="text1"/>
          <w:sz w:val="24"/>
          <w:szCs w:val="24"/>
          <w:shd w:val="clear" w:color="auto" w:fill="FFFFFF"/>
        </w:rPr>
        <w:t xml:space="preserve"> 2</w:t>
      </w:r>
      <w:r w:rsidR="001572A1">
        <w:rPr>
          <w:rFonts w:ascii="Garamond" w:eastAsia="Garamond" w:hAnsi="Garamond" w:cs="Garamond"/>
          <w:color w:val="000000" w:themeColor="text1"/>
          <w:sz w:val="24"/>
          <w:szCs w:val="24"/>
          <w:shd w:val="clear" w:color="auto" w:fill="FFFFFF"/>
        </w:rPr>
        <w:t>6</w:t>
      </w:r>
      <w:r w:rsidRPr="00FC0583">
        <w:rPr>
          <w:rFonts w:ascii="Garamond" w:eastAsia="Garamond" w:hAnsi="Garamond" w:cs="Garamond"/>
          <w:color w:val="000000" w:themeColor="text1"/>
          <w:w w:val="101"/>
          <w:sz w:val="24"/>
          <w:szCs w:val="24"/>
        </w:rPr>
        <w:t>, 202</w:t>
      </w:r>
      <w:r w:rsidR="001572A1">
        <w:rPr>
          <w:rFonts w:ascii="Garamond" w:eastAsia="Garamond" w:hAnsi="Garamond" w:cs="Garamond"/>
          <w:color w:val="000000" w:themeColor="text1"/>
          <w:w w:val="101"/>
          <w:sz w:val="24"/>
          <w:szCs w:val="24"/>
        </w:rPr>
        <w:t>6</w:t>
      </w:r>
      <w:r w:rsidRPr="00FC0583">
        <w:rPr>
          <w:rFonts w:ascii="Garamond" w:eastAsia="Garamond" w:hAnsi="Garamond" w:cs="Garamond"/>
          <w:b/>
          <w:bCs/>
          <w:color w:val="000000" w:themeColor="text1"/>
          <w:w w:val="101"/>
          <w:sz w:val="24"/>
          <w:szCs w:val="24"/>
        </w:rPr>
        <w:t xml:space="preserve"> Revised|</w:t>
      </w:r>
      <w:r w:rsidR="0031151F" w:rsidRPr="00FC0583">
        <w:rPr>
          <w:rFonts w:ascii="Garamond" w:eastAsia="Garamond" w:hAnsi="Garamond" w:cs="Garamond"/>
          <w:b/>
          <w:bCs/>
          <w:color w:val="000000" w:themeColor="text1"/>
          <w:w w:val="101"/>
          <w:sz w:val="24"/>
          <w:szCs w:val="24"/>
        </w:rPr>
        <w:t xml:space="preserve"> </w:t>
      </w:r>
      <w:r w:rsidR="001572A1">
        <w:rPr>
          <w:rFonts w:ascii="Garamond" w:eastAsia="Garamond" w:hAnsi="Garamond" w:cs="Garamond"/>
          <w:color w:val="000000" w:themeColor="text1"/>
          <w:sz w:val="24"/>
          <w:szCs w:val="24"/>
          <w:shd w:val="clear" w:color="auto" w:fill="FFFFFF"/>
        </w:rPr>
        <w:t>April</w:t>
      </w:r>
      <w:r w:rsidR="00FC0583" w:rsidRPr="00FC0583">
        <w:rPr>
          <w:rFonts w:ascii="Garamond" w:eastAsia="Garamond" w:hAnsi="Garamond" w:cs="Garamond"/>
          <w:color w:val="000000" w:themeColor="text1"/>
          <w:sz w:val="24"/>
          <w:szCs w:val="24"/>
          <w:shd w:val="clear" w:color="auto" w:fill="FFFFFF"/>
        </w:rPr>
        <w:t xml:space="preserve"> 2</w:t>
      </w:r>
      <w:r w:rsidR="001572A1">
        <w:rPr>
          <w:rFonts w:ascii="Garamond" w:eastAsia="Garamond" w:hAnsi="Garamond" w:cs="Garamond"/>
          <w:color w:val="000000" w:themeColor="text1"/>
          <w:sz w:val="24"/>
          <w:szCs w:val="24"/>
          <w:shd w:val="clear" w:color="auto" w:fill="FFFFFF"/>
        </w:rPr>
        <w:t>1</w:t>
      </w:r>
      <w:r w:rsidRPr="00FC0583">
        <w:rPr>
          <w:rFonts w:ascii="Garamond" w:eastAsia="Garamond" w:hAnsi="Garamond" w:cs="Garamond"/>
          <w:color w:val="000000" w:themeColor="text1"/>
          <w:w w:val="101"/>
          <w:sz w:val="24"/>
          <w:szCs w:val="24"/>
        </w:rPr>
        <w:t>, 202</w:t>
      </w:r>
      <w:r w:rsidR="001572A1">
        <w:rPr>
          <w:rFonts w:ascii="Garamond" w:eastAsia="Garamond" w:hAnsi="Garamond" w:cs="Garamond"/>
          <w:color w:val="000000" w:themeColor="text1"/>
          <w:w w:val="101"/>
          <w:sz w:val="24"/>
          <w:szCs w:val="24"/>
        </w:rPr>
        <w:t>6</w:t>
      </w:r>
      <w:r w:rsidRPr="00FC0583">
        <w:rPr>
          <w:rFonts w:ascii="Garamond" w:eastAsia="Garamond" w:hAnsi="Garamond" w:cs="Garamond"/>
          <w:b/>
          <w:bCs/>
          <w:color w:val="000000" w:themeColor="text1"/>
          <w:w w:val="101"/>
          <w:sz w:val="24"/>
          <w:szCs w:val="24"/>
        </w:rPr>
        <w:t xml:space="preserve"> Accepted|</w:t>
      </w:r>
      <w:r w:rsidR="001A4E3F" w:rsidRPr="00FC0583">
        <w:rPr>
          <w:rFonts w:ascii="Garamond" w:eastAsia="Garamond" w:hAnsi="Garamond" w:cs="Garamond"/>
          <w:b/>
          <w:bCs/>
          <w:color w:val="000000" w:themeColor="text1"/>
          <w:w w:val="101"/>
          <w:sz w:val="24"/>
          <w:szCs w:val="24"/>
        </w:rPr>
        <w:t xml:space="preserve"> </w:t>
      </w:r>
      <w:r w:rsidR="001572A1">
        <w:rPr>
          <w:rFonts w:ascii="Garamond" w:eastAsia="Garamond" w:hAnsi="Garamond" w:cs="Garamond"/>
          <w:color w:val="000000" w:themeColor="text1"/>
          <w:sz w:val="24"/>
          <w:szCs w:val="24"/>
          <w:shd w:val="clear" w:color="auto" w:fill="FFFFFF"/>
        </w:rPr>
        <w:t>April</w:t>
      </w:r>
      <w:r w:rsidR="00FC0583" w:rsidRPr="00FC0583">
        <w:rPr>
          <w:rFonts w:ascii="Garamond" w:eastAsia="Garamond" w:hAnsi="Garamond" w:cs="Garamond"/>
          <w:color w:val="000000" w:themeColor="text1"/>
          <w:sz w:val="24"/>
          <w:szCs w:val="24"/>
          <w:shd w:val="clear" w:color="auto" w:fill="FFFFFF"/>
        </w:rPr>
        <w:t xml:space="preserve"> </w:t>
      </w:r>
      <w:r w:rsidR="001572A1">
        <w:rPr>
          <w:rFonts w:ascii="Garamond" w:eastAsia="Garamond" w:hAnsi="Garamond" w:cs="Garamond"/>
          <w:color w:val="000000" w:themeColor="text1"/>
          <w:sz w:val="24"/>
          <w:szCs w:val="24"/>
          <w:shd w:val="clear" w:color="auto" w:fill="FFFFFF"/>
        </w:rPr>
        <w:t>24</w:t>
      </w:r>
      <w:r w:rsidRPr="00FC0583">
        <w:rPr>
          <w:rFonts w:ascii="Garamond" w:eastAsia="Garamond" w:hAnsi="Garamond" w:cs="Garamond"/>
          <w:color w:val="000000" w:themeColor="text1"/>
          <w:w w:val="101"/>
          <w:sz w:val="24"/>
          <w:szCs w:val="24"/>
        </w:rPr>
        <w:t>, 202</w:t>
      </w:r>
      <w:r w:rsidR="001572A1">
        <w:rPr>
          <w:rFonts w:ascii="Garamond" w:eastAsia="Garamond" w:hAnsi="Garamond" w:cs="Garamond"/>
          <w:color w:val="000000" w:themeColor="text1"/>
          <w:w w:val="101"/>
          <w:sz w:val="24"/>
          <w:szCs w:val="24"/>
        </w:rPr>
        <w:t>6</w:t>
      </w:r>
      <w:r w:rsidRPr="00FC0583">
        <w:rPr>
          <w:rFonts w:ascii="Garamond" w:eastAsia="Garamond" w:hAnsi="Garamond" w:cs="Garamond"/>
          <w:b/>
          <w:bCs/>
          <w:color w:val="000000" w:themeColor="text1"/>
          <w:w w:val="101"/>
          <w:sz w:val="24"/>
          <w:szCs w:val="24"/>
        </w:rPr>
        <w:t xml:space="preserve"> Published|</w:t>
      </w:r>
      <w:r w:rsidR="0031151F" w:rsidRPr="00FC0583">
        <w:rPr>
          <w:rFonts w:ascii="Garamond" w:eastAsia="Garamond" w:hAnsi="Garamond" w:cs="Garamond"/>
          <w:b/>
          <w:bCs/>
          <w:color w:val="000000" w:themeColor="text1"/>
          <w:w w:val="101"/>
          <w:sz w:val="24"/>
          <w:szCs w:val="24"/>
        </w:rPr>
        <w:t xml:space="preserve"> </w:t>
      </w:r>
      <w:r w:rsidR="001572A1">
        <w:rPr>
          <w:rFonts w:ascii="Garamond" w:eastAsia="Garamond" w:hAnsi="Garamond" w:cs="Garamond"/>
          <w:color w:val="000000" w:themeColor="text1"/>
          <w:sz w:val="24"/>
          <w:szCs w:val="24"/>
          <w:shd w:val="clear" w:color="auto" w:fill="FFFFFF"/>
        </w:rPr>
        <w:t>April</w:t>
      </w:r>
      <w:r w:rsidR="00FC0583" w:rsidRPr="00FC0583">
        <w:rPr>
          <w:rFonts w:ascii="Garamond" w:eastAsia="Garamond" w:hAnsi="Garamond" w:cs="Garamond"/>
          <w:color w:val="000000" w:themeColor="text1"/>
          <w:sz w:val="24"/>
          <w:szCs w:val="24"/>
          <w:shd w:val="clear" w:color="auto" w:fill="FFFFFF"/>
        </w:rPr>
        <w:t xml:space="preserve"> </w:t>
      </w:r>
      <w:r w:rsidR="001572A1">
        <w:rPr>
          <w:rFonts w:ascii="Garamond" w:eastAsia="Garamond" w:hAnsi="Garamond" w:cs="Garamond"/>
          <w:color w:val="000000" w:themeColor="text1"/>
          <w:sz w:val="24"/>
          <w:szCs w:val="24"/>
          <w:shd w:val="clear" w:color="auto" w:fill="FFFFFF"/>
        </w:rPr>
        <w:t>28</w:t>
      </w:r>
      <w:r w:rsidRPr="00FC0583">
        <w:rPr>
          <w:rFonts w:ascii="Garamond" w:eastAsia="Garamond" w:hAnsi="Garamond" w:cs="Garamond"/>
          <w:color w:val="000000" w:themeColor="text1"/>
          <w:w w:val="101"/>
          <w:sz w:val="24"/>
          <w:szCs w:val="24"/>
        </w:rPr>
        <w:t>, 202</w:t>
      </w:r>
      <w:r w:rsidR="001572A1">
        <w:rPr>
          <w:rFonts w:ascii="Garamond" w:eastAsia="Garamond" w:hAnsi="Garamond" w:cs="Garamond"/>
          <w:color w:val="000000" w:themeColor="text1"/>
          <w:w w:val="101"/>
          <w:sz w:val="24"/>
          <w:szCs w:val="24"/>
        </w:rPr>
        <w:t>6</w:t>
      </w:r>
      <w:r w:rsidR="001C0B61" w:rsidRPr="00FC0583">
        <w:rPr>
          <w:rFonts w:ascii="Garamond" w:eastAsia="Garamond" w:hAnsi="Garamond" w:cs="Garamond"/>
          <w:color w:val="000000" w:themeColor="text1"/>
          <w:w w:val="101"/>
          <w:sz w:val="24"/>
          <w:szCs w:val="24"/>
        </w:rPr>
        <w:t>.</w:t>
      </w:r>
    </w:p>
    <w:p w14:paraId="68AC4EF1" w14:textId="09FBE445" w:rsidR="0008704B" w:rsidRPr="0008704B" w:rsidRDefault="0008704B" w:rsidP="0008704B">
      <w:pPr>
        <w:keepNext/>
        <w:framePr w:dropCap="drop" w:lines="3" w:wrap="around" w:vAnchor="text" w:hAnchor="text"/>
        <w:spacing w:after="0" w:line="810" w:lineRule="exact"/>
        <w:jc w:val="both"/>
        <w:textAlignment w:val="baseline"/>
        <w:rPr>
          <w:rFonts w:ascii="Garamond" w:hAnsi="Garamond"/>
          <w:position w:val="-9"/>
          <w:sz w:val="112"/>
          <w:szCs w:val="24"/>
        </w:rPr>
      </w:pPr>
      <w:bookmarkStart w:id="1" w:name="_Hlk217203162"/>
      <w:r w:rsidRPr="0008704B">
        <w:rPr>
          <w:rFonts w:ascii="Garamond" w:hAnsi="Garamond"/>
          <w:position w:val="-9"/>
          <w:sz w:val="112"/>
          <w:szCs w:val="24"/>
        </w:rPr>
        <w:t>H</w:t>
      </w:r>
    </w:p>
    <w:p w14:paraId="7C61410C" w14:textId="5CFDA6FB" w:rsidR="00FB63DE" w:rsidRPr="0008704B" w:rsidRDefault="00FB63DE" w:rsidP="00FB63DE">
      <w:pPr>
        <w:spacing w:after="0" w:line="240" w:lineRule="auto"/>
        <w:jc w:val="both"/>
        <w:rPr>
          <w:rFonts w:ascii="Garamond" w:hAnsi="Garamond"/>
          <w:sz w:val="24"/>
          <w:szCs w:val="24"/>
        </w:rPr>
      </w:pPr>
      <w:r w:rsidRPr="0008704B">
        <w:rPr>
          <w:rFonts w:ascii="Garamond" w:hAnsi="Garamond"/>
          <w:sz w:val="24"/>
          <w:szCs w:val="24"/>
        </w:rPr>
        <w:t>uman Activity Recognition (HAR) using 3D skeleton motion data plays a vital role in surveillance, healthcare, and human–computer interaction; however, its performance degrades significantly under real-world occlusion conditions.</w:t>
      </w:r>
      <w:r w:rsidR="004D064F" w:rsidRPr="0008704B">
        <w:rPr>
          <w:rFonts w:ascii="Garamond" w:hAnsi="Garamond"/>
          <w:sz w:val="24"/>
          <w:szCs w:val="24"/>
        </w:rPr>
        <w:t xml:space="preserve"> </w:t>
      </w:r>
      <w:r w:rsidRPr="0008704B">
        <w:rPr>
          <w:rFonts w:ascii="Garamond" w:hAnsi="Garamond"/>
          <w:sz w:val="24"/>
          <w:szCs w:val="24"/>
        </w:rPr>
        <w:t xml:space="preserve">This study proposes a comparative GAN-based framework using CRNN+BiLSTM and Transformer architectures as generator networks to reconstruct occluded 3D human skeletons, demonstrating superior reconstruction and activity recognition performance across multiple occlusion scenarios. </w:t>
      </w:r>
      <w:r w:rsidR="0008704B" w:rsidRPr="0008704B">
        <w:rPr>
          <w:rFonts w:ascii="Garamond" w:hAnsi="Garamond"/>
          <w:sz w:val="24"/>
          <w:szCs w:val="24"/>
        </w:rPr>
        <w:t>The UTKinect-Action3D dataset was used</w:t>
      </w:r>
      <w:r w:rsidR="001F25EC" w:rsidRPr="0008704B">
        <w:rPr>
          <w:rFonts w:ascii="Garamond" w:hAnsi="Garamond"/>
          <w:sz w:val="24"/>
          <w:szCs w:val="24"/>
        </w:rPr>
        <w:t>,</w:t>
      </w:r>
      <w:r w:rsidRPr="0008704B">
        <w:rPr>
          <w:rFonts w:ascii="Garamond" w:hAnsi="Garamond"/>
          <w:sz w:val="24"/>
          <w:szCs w:val="24"/>
        </w:rPr>
        <w:t xml:space="preserve"> which is publicly available</w:t>
      </w:r>
      <w:r w:rsidR="001F25EC" w:rsidRPr="0008704B">
        <w:rPr>
          <w:rFonts w:ascii="Garamond" w:hAnsi="Garamond"/>
          <w:sz w:val="24"/>
          <w:szCs w:val="24"/>
        </w:rPr>
        <w:t>,</w:t>
      </w:r>
      <w:r w:rsidRPr="0008704B">
        <w:rPr>
          <w:rFonts w:ascii="Garamond" w:hAnsi="Garamond"/>
          <w:sz w:val="24"/>
          <w:szCs w:val="24"/>
        </w:rPr>
        <w:t xml:space="preserve"> and in this dataset, we have RGB images, gr</w:t>
      </w:r>
      <w:r w:rsidR="001F25EC" w:rsidRPr="0008704B">
        <w:rPr>
          <w:rFonts w:ascii="Garamond" w:hAnsi="Garamond"/>
          <w:sz w:val="24"/>
          <w:szCs w:val="24"/>
        </w:rPr>
        <w:t>ayscal</w:t>
      </w:r>
      <w:r w:rsidRPr="0008704B">
        <w:rPr>
          <w:rFonts w:ascii="Garamond" w:hAnsi="Garamond"/>
          <w:sz w:val="24"/>
          <w:szCs w:val="24"/>
        </w:rPr>
        <w:t>e images</w:t>
      </w:r>
      <w:r w:rsidR="001F25EC" w:rsidRPr="0008704B">
        <w:rPr>
          <w:rFonts w:ascii="Garamond" w:hAnsi="Garamond"/>
          <w:sz w:val="24"/>
          <w:szCs w:val="24"/>
        </w:rPr>
        <w:t>,</w:t>
      </w:r>
      <w:r w:rsidRPr="0008704B">
        <w:rPr>
          <w:rFonts w:ascii="Garamond" w:hAnsi="Garamond"/>
          <w:sz w:val="24"/>
          <w:szCs w:val="24"/>
        </w:rPr>
        <w:t xml:space="preserve"> and </w:t>
      </w:r>
      <w:r w:rsidR="0008704B" w:rsidRPr="0008704B">
        <w:rPr>
          <w:rFonts w:ascii="Garamond" w:hAnsi="Garamond"/>
          <w:sz w:val="24"/>
          <w:szCs w:val="24"/>
        </w:rPr>
        <w:t>3D</w:t>
      </w:r>
      <w:r w:rsidRPr="0008704B">
        <w:rPr>
          <w:rFonts w:ascii="Garamond" w:hAnsi="Garamond"/>
          <w:sz w:val="24"/>
          <w:szCs w:val="24"/>
        </w:rPr>
        <w:t xml:space="preserve"> skeleton points text data. </w:t>
      </w:r>
      <w:r w:rsidR="0008704B" w:rsidRPr="0008704B">
        <w:rPr>
          <w:rFonts w:ascii="Garamond" w:hAnsi="Garamond"/>
          <w:sz w:val="24"/>
          <w:szCs w:val="24"/>
        </w:rPr>
        <w:t>Skeleton data were manually occluded to simulate eight occlusion scenarios</w:t>
      </w:r>
      <w:r w:rsidRPr="0008704B">
        <w:rPr>
          <w:rFonts w:ascii="Garamond" w:hAnsi="Garamond"/>
          <w:sz w:val="24"/>
          <w:szCs w:val="24"/>
        </w:rPr>
        <w:t xml:space="preserve">, including left arm, right arm, left leg, right leg, left arm and leg, right arm and leg, both arms, </w:t>
      </w:r>
      <w:r w:rsidR="001F25EC" w:rsidRPr="0008704B">
        <w:rPr>
          <w:rFonts w:ascii="Garamond" w:hAnsi="Garamond"/>
          <w:sz w:val="24"/>
          <w:szCs w:val="24"/>
        </w:rPr>
        <w:t xml:space="preserve">and </w:t>
      </w:r>
      <w:r w:rsidRPr="0008704B">
        <w:rPr>
          <w:rFonts w:ascii="Garamond" w:hAnsi="Garamond"/>
          <w:sz w:val="24"/>
          <w:szCs w:val="24"/>
        </w:rPr>
        <w:t>both legs occlusions. A Generative Adversarial Network (GAN) is employed, where the generator is implemented using (</w:t>
      </w:r>
      <w:proofErr w:type="spellStart"/>
      <w:r w:rsidRPr="0008704B">
        <w:rPr>
          <w:rFonts w:ascii="Garamond" w:hAnsi="Garamond"/>
          <w:sz w:val="24"/>
          <w:szCs w:val="24"/>
        </w:rPr>
        <w:t>i</w:t>
      </w:r>
      <w:proofErr w:type="spellEnd"/>
      <w:r w:rsidRPr="0008704B">
        <w:rPr>
          <w:rFonts w:ascii="Garamond" w:hAnsi="Garamond"/>
          <w:sz w:val="24"/>
          <w:szCs w:val="24"/>
        </w:rPr>
        <w:t>) CRNN+</w:t>
      </w:r>
      <w:r w:rsidR="004D064F" w:rsidRPr="0008704B">
        <w:rPr>
          <w:rFonts w:ascii="Garamond" w:hAnsi="Garamond"/>
          <w:sz w:val="24"/>
          <w:szCs w:val="24"/>
        </w:rPr>
        <w:t xml:space="preserve"> </w:t>
      </w:r>
      <w:proofErr w:type="spellStart"/>
      <w:r w:rsidRPr="0008704B">
        <w:rPr>
          <w:rFonts w:ascii="Garamond" w:hAnsi="Garamond"/>
          <w:sz w:val="24"/>
          <w:szCs w:val="24"/>
        </w:rPr>
        <w:t>BiLSTM</w:t>
      </w:r>
      <w:proofErr w:type="spellEnd"/>
      <w:r w:rsidRPr="0008704B">
        <w:rPr>
          <w:rFonts w:ascii="Garamond" w:hAnsi="Garamond"/>
          <w:sz w:val="24"/>
          <w:szCs w:val="24"/>
        </w:rPr>
        <w:t xml:space="preserve"> and (ii) Transformer models, while the discriminator is based on LSTM. Reconstructed skeletons are subsequently fed into an LSTM-based classifier for activity recognition. The proposed GAN-based reconstruction models significantly enhance skeleton recovery and human activity recognition under occlusion. Compared to the GAN-CRNN (Min) and GAN-CRNN (Max) benchmarks, the GAN-CRNN+</w:t>
      </w:r>
      <w:r w:rsidR="004D064F" w:rsidRPr="0008704B">
        <w:rPr>
          <w:rFonts w:ascii="Garamond" w:hAnsi="Garamond"/>
          <w:sz w:val="24"/>
          <w:szCs w:val="24"/>
        </w:rPr>
        <w:t xml:space="preserve"> </w:t>
      </w:r>
      <w:proofErr w:type="spellStart"/>
      <w:r w:rsidRPr="0008704B">
        <w:rPr>
          <w:rFonts w:ascii="Garamond" w:hAnsi="Garamond"/>
          <w:sz w:val="24"/>
          <w:szCs w:val="24"/>
        </w:rPr>
        <w:t>BiLSTM</w:t>
      </w:r>
      <w:proofErr w:type="spellEnd"/>
      <w:r w:rsidRPr="0008704B">
        <w:rPr>
          <w:rFonts w:ascii="Garamond" w:hAnsi="Garamond"/>
          <w:sz w:val="24"/>
          <w:szCs w:val="24"/>
        </w:rPr>
        <w:t xml:space="preserve"> achieves average improvements of </w:t>
      </w:r>
      <w:r w:rsidRPr="0008704B">
        <w:rPr>
          <w:rFonts w:ascii="Garamond" w:hAnsi="Garamond"/>
          <w:b/>
          <w:bCs/>
          <w:sz w:val="24"/>
          <w:szCs w:val="24"/>
        </w:rPr>
        <w:t>32.7% ± 2.4</w:t>
      </w:r>
      <w:r w:rsidRPr="0008704B">
        <w:rPr>
          <w:rFonts w:ascii="Garamond" w:hAnsi="Garamond"/>
          <w:sz w:val="24"/>
          <w:szCs w:val="24"/>
        </w:rPr>
        <w:t xml:space="preserve"> and </w:t>
      </w:r>
      <w:r w:rsidRPr="0008704B">
        <w:rPr>
          <w:rFonts w:ascii="Garamond" w:hAnsi="Garamond"/>
          <w:b/>
          <w:bCs/>
          <w:sz w:val="24"/>
          <w:szCs w:val="24"/>
        </w:rPr>
        <w:t>18.3% ± 1.9</w:t>
      </w:r>
      <w:r w:rsidRPr="0008704B">
        <w:rPr>
          <w:rFonts w:ascii="Garamond" w:hAnsi="Garamond"/>
          <w:sz w:val="24"/>
          <w:szCs w:val="24"/>
        </w:rPr>
        <w:t xml:space="preserve">, respectively, while the GAN-Transformer attains higher average gains of </w:t>
      </w:r>
      <w:r w:rsidRPr="0008704B">
        <w:rPr>
          <w:rFonts w:ascii="Garamond" w:hAnsi="Garamond"/>
          <w:b/>
          <w:bCs/>
          <w:sz w:val="24"/>
          <w:szCs w:val="24"/>
        </w:rPr>
        <w:t>35.1% ± 2.1</w:t>
      </w:r>
      <w:r w:rsidRPr="0008704B">
        <w:rPr>
          <w:rFonts w:ascii="Garamond" w:hAnsi="Garamond"/>
          <w:sz w:val="24"/>
          <w:szCs w:val="24"/>
        </w:rPr>
        <w:t xml:space="preserve"> and </w:t>
      </w:r>
      <w:r w:rsidRPr="0008704B">
        <w:rPr>
          <w:rFonts w:ascii="Garamond" w:hAnsi="Garamond"/>
          <w:b/>
          <w:bCs/>
          <w:sz w:val="24"/>
          <w:szCs w:val="24"/>
        </w:rPr>
        <w:t>20.5% ± 1.7</w:t>
      </w:r>
      <w:r w:rsidRPr="0008704B">
        <w:rPr>
          <w:rFonts w:ascii="Garamond" w:hAnsi="Garamond"/>
          <w:sz w:val="24"/>
          <w:szCs w:val="24"/>
        </w:rPr>
        <w:t xml:space="preserve">, demonstrating statistically significant improvements (p &lt; 0.05), particularly in complex occlusion scenarios. These results demonstrate the effectiveness and robustness of the proposed architectures for handling severe skeletal occlusions. The performance gains are attributed to bidirectional temporal modeling in </w:t>
      </w:r>
      <w:proofErr w:type="spellStart"/>
      <w:r w:rsidRPr="0008704B">
        <w:rPr>
          <w:rFonts w:ascii="Garamond" w:hAnsi="Garamond"/>
          <w:sz w:val="24"/>
          <w:szCs w:val="24"/>
        </w:rPr>
        <w:t>BiLSTM</w:t>
      </w:r>
      <w:proofErr w:type="spellEnd"/>
      <w:r w:rsidRPr="0008704B">
        <w:rPr>
          <w:rFonts w:ascii="Garamond" w:hAnsi="Garamond"/>
          <w:sz w:val="24"/>
          <w:szCs w:val="24"/>
        </w:rPr>
        <w:t xml:space="preserve"> and global </w:t>
      </w:r>
      <w:proofErr w:type="spellStart"/>
      <w:r w:rsidRPr="0008704B">
        <w:rPr>
          <w:rFonts w:ascii="Garamond" w:hAnsi="Garamond"/>
          <w:sz w:val="24"/>
          <w:szCs w:val="24"/>
        </w:rPr>
        <w:t>spatio</w:t>
      </w:r>
      <w:proofErr w:type="spellEnd"/>
      <w:r w:rsidRPr="0008704B">
        <w:rPr>
          <w:rFonts w:ascii="Garamond" w:hAnsi="Garamond"/>
          <w:sz w:val="24"/>
          <w:szCs w:val="24"/>
        </w:rPr>
        <w:t>-temporal attention in Transformers. The proposed GAN-based reconstruction framework effectively mitigates occlusion effects and significantly enhances human activity recognition accuracy.</w:t>
      </w:r>
    </w:p>
    <w:p w14:paraId="6D042F0B" w14:textId="0C7152E4" w:rsidR="00E63940" w:rsidRPr="000101FA" w:rsidRDefault="00FB63DE" w:rsidP="009B465A">
      <w:pPr>
        <w:spacing w:after="0" w:line="240" w:lineRule="auto"/>
        <w:jc w:val="both"/>
        <w:rPr>
          <w:rFonts w:ascii="Garamond" w:eastAsia="Garamond" w:hAnsi="Garamond" w:cs="Garamond"/>
          <w:color w:val="000000" w:themeColor="text1"/>
          <w:position w:val="-10"/>
          <w:sz w:val="24"/>
          <w:szCs w:val="24"/>
        </w:rPr>
      </w:pPr>
      <w:r w:rsidRPr="00AC6E49">
        <w:rPr>
          <w:rFonts w:ascii="Garamond" w:hAnsi="Garamond"/>
          <w:b/>
          <w:bCs/>
          <w:sz w:val="24"/>
          <w:szCs w:val="24"/>
        </w:rPr>
        <w:t>Keywords:</w:t>
      </w:r>
      <w:r w:rsidRPr="00AC6E49">
        <w:rPr>
          <w:rFonts w:ascii="Garamond" w:hAnsi="Garamond"/>
          <w:sz w:val="24"/>
          <w:szCs w:val="24"/>
        </w:rPr>
        <w:t xml:space="preserve"> Human Activity Recognition; Occluded Skeleton Reconstruction; Generative Adversarial Networks; </w:t>
      </w:r>
      <w:proofErr w:type="spellStart"/>
      <w:r w:rsidRPr="00AC6E49">
        <w:rPr>
          <w:rFonts w:ascii="Garamond" w:hAnsi="Garamond"/>
          <w:sz w:val="24"/>
          <w:szCs w:val="24"/>
        </w:rPr>
        <w:t>BiLSTM</w:t>
      </w:r>
      <w:proofErr w:type="spellEnd"/>
      <w:r w:rsidRPr="00AC6E49">
        <w:rPr>
          <w:rFonts w:ascii="Garamond" w:hAnsi="Garamond"/>
          <w:sz w:val="24"/>
          <w:szCs w:val="24"/>
        </w:rPr>
        <w:t>; Transformer</w:t>
      </w:r>
      <w:bookmarkEnd w:id="1"/>
    </w:p>
    <w:tbl>
      <w:tblPr>
        <w:tblW w:w="8838" w:type="dxa"/>
        <w:tblLayout w:type="fixed"/>
        <w:tblLook w:val="04A0" w:firstRow="1" w:lastRow="0" w:firstColumn="1" w:lastColumn="0" w:noHBand="0" w:noVBand="1"/>
      </w:tblPr>
      <w:tblGrid>
        <w:gridCol w:w="1574"/>
        <w:gridCol w:w="1965"/>
        <w:gridCol w:w="2060"/>
        <w:gridCol w:w="1463"/>
        <w:gridCol w:w="1776"/>
      </w:tblGrid>
      <w:tr w:rsidR="00D54C09" w:rsidRPr="000101FA" w14:paraId="52F173CA" w14:textId="77777777" w:rsidTr="6F90D69E">
        <w:trPr>
          <w:trHeight w:val="503"/>
        </w:trPr>
        <w:tc>
          <w:tcPr>
            <w:tcW w:w="1574" w:type="dxa"/>
          </w:tcPr>
          <w:p w14:paraId="4515E94E" w14:textId="77777777"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bookmarkStart w:id="2" w:name="_Hlk120457397"/>
            <w:r w:rsidRPr="000101FA">
              <w:rPr>
                <w:rFonts w:ascii="Garamond" w:hAnsi="Garamond"/>
                <w:noProof/>
                <w:color w:val="000000" w:themeColor="text1"/>
                <w:sz w:val="24"/>
                <w:szCs w:val="24"/>
              </w:rPr>
              <w:drawing>
                <wp:inline distT="0" distB="0" distL="0" distR="0" wp14:anchorId="7B097D2C" wp14:editId="3A356712">
                  <wp:extent cx="935665" cy="3280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5665" cy="328060"/>
                          </a:xfrm>
                          <a:prstGeom prst="rect">
                            <a:avLst/>
                          </a:prstGeom>
                        </pic:spPr>
                      </pic:pic>
                    </a:graphicData>
                  </a:graphic>
                </wp:inline>
              </w:drawing>
            </w:r>
          </w:p>
        </w:tc>
        <w:tc>
          <w:tcPr>
            <w:tcW w:w="1965" w:type="dxa"/>
          </w:tcPr>
          <w:p w14:paraId="74A4341E" w14:textId="77777777"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r w:rsidRPr="000101FA">
              <w:rPr>
                <w:rFonts w:ascii="Garamond" w:hAnsi="Garamond"/>
                <w:noProof/>
                <w:color w:val="000000" w:themeColor="text1"/>
                <w:sz w:val="24"/>
                <w:szCs w:val="24"/>
              </w:rPr>
              <w:drawing>
                <wp:inline distT="0" distB="0" distL="0" distR="0" wp14:anchorId="3930982B" wp14:editId="3F9E627F">
                  <wp:extent cx="1010093" cy="3315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093" cy="331535"/>
                          </a:xfrm>
                          <a:prstGeom prst="rect">
                            <a:avLst/>
                          </a:prstGeom>
                        </pic:spPr>
                      </pic:pic>
                    </a:graphicData>
                  </a:graphic>
                </wp:inline>
              </w:drawing>
            </w:r>
          </w:p>
        </w:tc>
        <w:tc>
          <w:tcPr>
            <w:tcW w:w="2060" w:type="dxa"/>
          </w:tcPr>
          <w:p w14:paraId="5A705A7C" w14:textId="77777777"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r w:rsidRPr="000101FA">
              <w:rPr>
                <w:rFonts w:ascii="Garamond" w:hAnsi="Garamond"/>
                <w:b/>
                <w:noProof/>
                <w:color w:val="000000" w:themeColor="text1"/>
                <w:sz w:val="24"/>
                <w:szCs w:val="24"/>
              </w:rPr>
              <w:drawing>
                <wp:inline distT="0" distB="0" distL="0" distR="0" wp14:anchorId="7AD097FF" wp14:editId="2F640FF8">
                  <wp:extent cx="1209248" cy="265814"/>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191" b="20878"/>
                          <a:stretch/>
                        </pic:blipFill>
                        <pic:spPr bwMode="auto">
                          <a:xfrm>
                            <a:off x="0" y="0"/>
                            <a:ext cx="1320282" cy="2902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3" w:type="dxa"/>
          </w:tcPr>
          <w:p w14:paraId="234C1CFE" w14:textId="3FBF185B"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r w:rsidRPr="000101FA">
              <w:rPr>
                <w:rFonts w:ascii="Garamond" w:hAnsi="Garamond"/>
                <w:noProof/>
                <w:color w:val="000000" w:themeColor="text1"/>
                <w:sz w:val="24"/>
                <w:szCs w:val="24"/>
              </w:rPr>
              <w:drawing>
                <wp:inline distT="0" distB="0" distL="0" distR="0" wp14:anchorId="211636B3" wp14:editId="5C0ED215">
                  <wp:extent cx="347014" cy="3314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014" cy="331470"/>
                          </a:xfrm>
                          <a:prstGeom prst="rect">
                            <a:avLst/>
                          </a:prstGeom>
                        </pic:spPr>
                      </pic:pic>
                    </a:graphicData>
                  </a:graphic>
                </wp:inline>
              </w:drawing>
            </w:r>
          </w:p>
        </w:tc>
        <w:tc>
          <w:tcPr>
            <w:tcW w:w="1776" w:type="dxa"/>
          </w:tcPr>
          <w:p w14:paraId="496D823B" w14:textId="67209BCC" w:rsidR="009A508E" w:rsidRPr="000101FA" w:rsidRDefault="009A508E" w:rsidP="00352CAB">
            <w:pPr>
              <w:tabs>
                <w:tab w:val="left" w:pos="2835"/>
              </w:tabs>
              <w:spacing w:after="0" w:line="240" w:lineRule="auto"/>
              <w:ind w:left="-107"/>
              <w:jc w:val="center"/>
              <w:rPr>
                <w:rFonts w:ascii="Garamond" w:eastAsia="Garamond" w:hAnsi="Garamond" w:cs="Garamond"/>
                <w:noProof/>
                <w:color w:val="000000" w:themeColor="text1"/>
                <w:sz w:val="24"/>
                <w:szCs w:val="24"/>
              </w:rPr>
            </w:pPr>
            <w:r w:rsidRPr="000101FA">
              <w:rPr>
                <w:rFonts w:ascii="Garamond" w:hAnsi="Garamond"/>
                <w:noProof/>
                <w:color w:val="000000" w:themeColor="text1"/>
                <w:sz w:val="24"/>
                <w:szCs w:val="24"/>
              </w:rPr>
              <w:drawing>
                <wp:inline distT="0" distB="0" distL="0" distR="0" wp14:anchorId="72D33071" wp14:editId="7AAD0E69">
                  <wp:extent cx="818707" cy="318865"/>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8707" cy="318865"/>
                          </a:xfrm>
                          <a:prstGeom prst="rect">
                            <a:avLst/>
                          </a:prstGeom>
                        </pic:spPr>
                      </pic:pic>
                    </a:graphicData>
                  </a:graphic>
                </wp:inline>
              </w:drawing>
            </w:r>
          </w:p>
        </w:tc>
      </w:tr>
      <w:tr w:rsidR="00D54C09" w:rsidRPr="000101FA" w14:paraId="55B74DB3" w14:textId="77777777" w:rsidTr="6F90D69E">
        <w:trPr>
          <w:trHeight w:val="564"/>
        </w:trPr>
        <w:tc>
          <w:tcPr>
            <w:tcW w:w="1574" w:type="dxa"/>
          </w:tcPr>
          <w:p w14:paraId="13F3ED7E" w14:textId="77777777"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b/>
                <w:noProof/>
                <w:color w:val="000000" w:themeColor="text1"/>
                <w:sz w:val="24"/>
                <w:szCs w:val="24"/>
              </w:rPr>
              <w:drawing>
                <wp:inline distT="0" distB="0" distL="0" distR="0" wp14:anchorId="1AC89A6D" wp14:editId="09857AAE">
                  <wp:extent cx="759460" cy="28624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482"/>
                          <a:stretch/>
                        </pic:blipFill>
                        <pic:spPr bwMode="auto">
                          <a:xfrm>
                            <a:off x="0" y="0"/>
                            <a:ext cx="848264" cy="319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14:paraId="0FEABDD6" w14:textId="77777777"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4DDF5A26" wp14:editId="2DB1022C">
                  <wp:extent cx="1147696" cy="361507"/>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696" cy="361507"/>
                          </a:xfrm>
                          <a:prstGeom prst="rect">
                            <a:avLst/>
                          </a:prstGeom>
                        </pic:spPr>
                      </pic:pic>
                    </a:graphicData>
                  </a:graphic>
                </wp:inline>
              </w:drawing>
            </w:r>
          </w:p>
        </w:tc>
        <w:tc>
          <w:tcPr>
            <w:tcW w:w="2060" w:type="dxa"/>
          </w:tcPr>
          <w:p w14:paraId="3B818406" w14:textId="77777777"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b/>
                <w:noProof/>
                <w:color w:val="000000" w:themeColor="text1"/>
                <w:sz w:val="24"/>
                <w:szCs w:val="24"/>
              </w:rPr>
              <w:drawing>
                <wp:inline distT="0" distB="0" distL="0" distR="0" wp14:anchorId="60AA1C3E" wp14:editId="790A5CDF">
                  <wp:extent cx="1129174" cy="244548"/>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20671"/>
                          <a:stretch/>
                        </pic:blipFill>
                        <pic:spPr bwMode="auto">
                          <a:xfrm>
                            <a:off x="0" y="0"/>
                            <a:ext cx="1174540" cy="254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3" w:type="dxa"/>
          </w:tcPr>
          <w:p w14:paraId="72B2A661" w14:textId="77777777" w:rsidR="009A508E" w:rsidRPr="000101FA" w:rsidRDefault="009A508E" w:rsidP="00352CAB">
            <w:pPr>
              <w:tabs>
                <w:tab w:val="left" w:pos="2835"/>
              </w:tabs>
              <w:spacing w:after="0" w:line="240" w:lineRule="auto"/>
              <w:ind w:left="-107"/>
              <w:jc w:val="center"/>
              <w:rPr>
                <w:rFonts w:ascii="Garamond" w:eastAsia="Garamond" w:hAnsi="Garamond" w:cs="Garamond"/>
                <w:noProof/>
                <w:color w:val="000000" w:themeColor="text1"/>
                <w:sz w:val="24"/>
                <w:szCs w:val="24"/>
              </w:rPr>
            </w:pPr>
            <w:r w:rsidRPr="000101FA">
              <w:rPr>
                <w:rFonts w:ascii="Garamond" w:hAnsi="Garamond"/>
                <w:noProof/>
                <w:color w:val="000000" w:themeColor="text1"/>
                <w:sz w:val="24"/>
                <w:szCs w:val="24"/>
              </w:rPr>
              <w:drawing>
                <wp:inline distT="0" distB="0" distL="0" distR="0" wp14:anchorId="1D99DBDD" wp14:editId="76793BC4">
                  <wp:extent cx="723013" cy="309863"/>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3013" cy="309863"/>
                          </a:xfrm>
                          <a:prstGeom prst="rect">
                            <a:avLst/>
                          </a:prstGeom>
                        </pic:spPr>
                      </pic:pic>
                    </a:graphicData>
                  </a:graphic>
                </wp:inline>
              </w:drawing>
            </w:r>
          </w:p>
        </w:tc>
        <w:tc>
          <w:tcPr>
            <w:tcW w:w="1776" w:type="dxa"/>
          </w:tcPr>
          <w:p w14:paraId="263CA4BC" w14:textId="142F0762"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6B3AF019" wp14:editId="0908B268">
                  <wp:extent cx="907332" cy="244549"/>
                  <wp:effectExtent l="0" t="0" r="762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7332" cy="244549"/>
                          </a:xfrm>
                          <a:prstGeom prst="rect">
                            <a:avLst/>
                          </a:prstGeom>
                        </pic:spPr>
                      </pic:pic>
                    </a:graphicData>
                  </a:graphic>
                </wp:inline>
              </w:drawing>
            </w:r>
          </w:p>
        </w:tc>
      </w:tr>
      <w:tr w:rsidR="00D54C09" w:rsidRPr="000101FA" w14:paraId="268A4071" w14:textId="77777777" w:rsidTr="00352CAB">
        <w:trPr>
          <w:trHeight w:val="198"/>
        </w:trPr>
        <w:tc>
          <w:tcPr>
            <w:tcW w:w="1574" w:type="dxa"/>
          </w:tcPr>
          <w:p w14:paraId="2DFA967C" w14:textId="01770952" w:rsidR="009A508E" w:rsidRPr="000101FA" w:rsidRDefault="009A508E" w:rsidP="00352CAB">
            <w:pPr>
              <w:tabs>
                <w:tab w:val="center" w:pos="625"/>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b/>
                <w:noProof/>
                <w:color w:val="000000" w:themeColor="text1"/>
                <w:sz w:val="24"/>
                <w:szCs w:val="24"/>
              </w:rPr>
              <w:drawing>
                <wp:inline distT="0" distB="0" distL="0" distR="0" wp14:anchorId="4DCC6344" wp14:editId="0AF1B3E0">
                  <wp:extent cx="389614" cy="3896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236" cy="398236"/>
                          </a:xfrm>
                          <a:prstGeom prst="rect">
                            <a:avLst/>
                          </a:prstGeom>
                          <a:noFill/>
                          <a:ln>
                            <a:noFill/>
                          </a:ln>
                        </pic:spPr>
                      </pic:pic>
                    </a:graphicData>
                  </a:graphic>
                </wp:inline>
              </w:drawing>
            </w:r>
          </w:p>
        </w:tc>
        <w:tc>
          <w:tcPr>
            <w:tcW w:w="1965" w:type="dxa"/>
          </w:tcPr>
          <w:p w14:paraId="016BE027" w14:textId="28085D8B"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0D280F42" wp14:editId="01007156">
                  <wp:extent cx="601732" cy="390489"/>
                  <wp:effectExtent l="0" t="0" r="0" b="0"/>
                  <wp:docPr id="5" name="Picture 5" descr="Crossre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732" cy="390489"/>
                          </a:xfrm>
                          <a:prstGeom prst="rect">
                            <a:avLst/>
                          </a:prstGeom>
                        </pic:spPr>
                      </pic:pic>
                    </a:graphicData>
                  </a:graphic>
                </wp:inline>
              </w:drawing>
            </w:r>
          </w:p>
        </w:tc>
        <w:tc>
          <w:tcPr>
            <w:tcW w:w="2060" w:type="dxa"/>
          </w:tcPr>
          <w:p w14:paraId="2282E820" w14:textId="33C2D1C3" w:rsidR="009A508E" w:rsidRPr="000101FA" w:rsidRDefault="009A508E" w:rsidP="00352CAB">
            <w:pPr>
              <w:tabs>
                <w:tab w:val="left" w:pos="2835"/>
              </w:tabs>
              <w:spacing w:after="0" w:line="240" w:lineRule="auto"/>
              <w:ind w:left="-107" w:hanging="16"/>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4818C82D" wp14:editId="7A49EC70">
                  <wp:extent cx="1170940" cy="389255"/>
                  <wp:effectExtent l="0" t="0" r="0" b="0"/>
                  <wp:docPr id="6" name="Picture 6" descr="ResearchGate - find and share research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0940" cy="389255"/>
                          </a:xfrm>
                          <a:prstGeom prst="rect">
                            <a:avLst/>
                          </a:prstGeom>
                        </pic:spPr>
                      </pic:pic>
                    </a:graphicData>
                  </a:graphic>
                </wp:inline>
              </w:drawing>
            </w:r>
          </w:p>
        </w:tc>
        <w:tc>
          <w:tcPr>
            <w:tcW w:w="1463" w:type="dxa"/>
          </w:tcPr>
          <w:p w14:paraId="130FD0B2" w14:textId="13018340"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5EEE87AF" wp14:editId="60B20D82">
                  <wp:extent cx="791845" cy="331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845" cy="331470"/>
                          </a:xfrm>
                          <a:prstGeom prst="rect">
                            <a:avLst/>
                          </a:prstGeom>
                        </pic:spPr>
                      </pic:pic>
                    </a:graphicData>
                  </a:graphic>
                </wp:inline>
              </w:drawing>
            </w:r>
          </w:p>
        </w:tc>
        <w:tc>
          <w:tcPr>
            <w:tcW w:w="1776" w:type="dxa"/>
          </w:tcPr>
          <w:p w14:paraId="3554B07C" w14:textId="0C91470E" w:rsidR="009A508E" w:rsidRPr="000101FA" w:rsidRDefault="004E25B0"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eastAsia="Garamond" w:hAnsi="Garamond" w:cs="Garamond"/>
                <w:b/>
                <w:bCs/>
                <w:noProof/>
                <w:color w:val="000000" w:themeColor="text1"/>
                <w:sz w:val="24"/>
                <w:szCs w:val="24"/>
              </w:rPr>
              <w:drawing>
                <wp:inline distT="0" distB="0" distL="0" distR="0" wp14:anchorId="5129A81D" wp14:editId="7D2BCED6">
                  <wp:extent cx="406854" cy="438150"/>
                  <wp:effectExtent l="0" t="0" r="0" b="0"/>
                  <wp:docPr id="14282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606" cy="444345"/>
                          </a:xfrm>
                          <a:prstGeom prst="rect">
                            <a:avLst/>
                          </a:prstGeom>
                          <a:noFill/>
                          <a:ln>
                            <a:noFill/>
                          </a:ln>
                        </pic:spPr>
                      </pic:pic>
                    </a:graphicData>
                  </a:graphic>
                </wp:inline>
              </w:drawing>
            </w:r>
          </w:p>
        </w:tc>
      </w:tr>
      <w:bookmarkEnd w:id="2"/>
    </w:tbl>
    <w:p w14:paraId="2228587E" w14:textId="77777777" w:rsidR="005C6DF2" w:rsidRPr="000101FA" w:rsidRDefault="005C6DF2" w:rsidP="005C6DF2">
      <w:pPr>
        <w:spacing w:after="0"/>
        <w:rPr>
          <w:rFonts w:ascii="Garamond" w:eastAsia="Garamond" w:hAnsi="Garamond" w:cs="Garamond"/>
          <w:sz w:val="24"/>
          <w:szCs w:val="24"/>
        </w:rPr>
        <w:sectPr w:rsidR="005C6DF2" w:rsidRPr="000101FA" w:rsidSect="00AC033E">
          <w:headerReference w:type="default" r:id="rId26"/>
          <w:footerReference w:type="default" r:id="rId27"/>
          <w:pgSz w:w="10800" w:h="13536"/>
          <w:pgMar w:top="0" w:right="720" w:bottom="274" w:left="1440" w:header="0" w:footer="58" w:gutter="0"/>
          <w:pgNumType w:start="163"/>
          <w:cols w:space="720"/>
          <w:docGrid w:linePitch="360"/>
        </w:sectPr>
      </w:pPr>
    </w:p>
    <w:p w14:paraId="2EDAFD08" w14:textId="77777777" w:rsidR="00ED6A54" w:rsidRPr="000101FA" w:rsidRDefault="6F90D69E" w:rsidP="6F90D69E">
      <w:pPr>
        <w:shd w:val="clear" w:color="auto" w:fill="FFFFFF" w:themeFill="background1"/>
        <w:spacing w:after="0" w:line="240" w:lineRule="auto"/>
        <w:jc w:val="both"/>
        <w:outlineLvl w:val="0"/>
        <w:rPr>
          <w:rFonts w:ascii="Garamond" w:eastAsia="Garamond" w:hAnsi="Garamond" w:cs="Garamond"/>
          <w:b/>
          <w:bCs/>
          <w:color w:val="000000" w:themeColor="text1"/>
          <w:sz w:val="24"/>
          <w:szCs w:val="24"/>
        </w:rPr>
      </w:pPr>
      <w:r w:rsidRPr="000101FA">
        <w:rPr>
          <w:rFonts w:ascii="Garamond" w:eastAsia="Garamond" w:hAnsi="Garamond" w:cs="Garamond"/>
          <w:b/>
          <w:bCs/>
          <w:color w:val="000000" w:themeColor="text1"/>
          <w:sz w:val="24"/>
          <w:szCs w:val="24"/>
        </w:rPr>
        <w:lastRenderedPageBreak/>
        <w:t>Introduction:</w:t>
      </w:r>
    </w:p>
    <w:p w14:paraId="22F6BB9F" w14:textId="5B9E10CD" w:rsidR="00015737" w:rsidRPr="00C87A6C" w:rsidRDefault="00015737" w:rsidP="002333B0">
      <w:pPr>
        <w:spacing w:after="0" w:line="240" w:lineRule="auto"/>
        <w:ind w:firstLine="720"/>
        <w:jc w:val="both"/>
        <w:rPr>
          <w:rFonts w:ascii="Garamond" w:hAnsi="Garamond"/>
          <w:sz w:val="24"/>
          <w:szCs w:val="24"/>
        </w:rPr>
      </w:pPr>
      <w:bookmarkStart w:id="4" w:name="_Hlk11398566"/>
      <w:r w:rsidRPr="00C87A6C">
        <w:rPr>
          <w:rFonts w:ascii="Garamond" w:hAnsi="Garamond"/>
          <w:sz w:val="24"/>
          <w:szCs w:val="24"/>
        </w:rPr>
        <w:t xml:space="preserve">Human Activity Recognition (HAR) utilizing 3D skeletal data has garnered considerable interest owing to its extensive applications in video surveillance, healthcare monitoring, sports analysis, and human–computer interaction. Among various data modalities, skeleton-based HAR is particularly effective as it provides compact, structured, and informative representations of human motion while reducing background noise and appearance variations </w:t>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{"citationItems":[{"id":"ITEM-1","itemData":{"DOI":"10.1109/TPAMI.2022.3183112","ISSN":"19393539","PMID":"35700242","abstract":"Human Action Recognition (HAR) aims to understand human behavior and assign a label to each action. It has a wide range of applications, and therefore has been attracting increasing attention in the field of computer vision. Human actions can be represented using various data modalities, such as RGB, skeleton, depth, infrared, point cloud, event stream, audio, acceleration, radar, and WiFi signal, which encode different sources of useful yet distinct information and have various advantages depending on the application scenarios. Consequently, lots of existing works have attempted to investigate different types of approaches for HAR using various modalities. In this article, we present a comprehensive survey of recent progress in deep learning methods for HAR based on the type of input data modality. Specifically, we review the current mainstream deep learning methods for single data modalities and multiple data modalities, including the fusion-based and the co-learning-based frameworks. We also present comparative results on several benchmark datasets for HAR, together with insightful observations and inspiring future research directions.","author":[{"dropping-particle":"","family":"Sun","given":"Zehua","non-dropping-particle":"","parse-names":false,"suffix":""},{"dropping-particle":"","family":"Ke","given":"Qiuhong","non-dropping-particle":"","parse-names":false,"suffix":""},{"dropping-particle":"","family":"Rahmani","given":"Hossein","non-dropping-particle":"","parse-names":false,"suffix":""},{"dropping-particle":"","family":"Bennamoun","given":"Mohammed","non-dropping-particle":"","parse-names":false,"suffix":""},{"dropping-particle":"","family":"Wang","given":"Gang","non-dropping-particle":"","parse-names":false,"suffix":""},{"dropping-particle":"","family":"Liu","given":"Jun","non-dropping-particle":"","parse-names":false,"suffix":""}],"container-title":"IEEE Transactions on Pattern Analysis and Machine Intelligence","id":"ITEM-1","issue":"3","issued":{"date-parts":[["2023","3","1"]]},"page":"3200-3225","publisher":"IEEE Computer Society","title":"Human Action Recognition From Various Data Modalities: A Review","type":"article-journal","volume":"45"},"uris":["http://www.mendeley.com/documents/?uuid=05546c0c-16af-3f20-98e0-016f34f7ab38"]}],"mendeley":{"formattedCitation":"[1]","plainTextFormattedCitation":"[1]","previouslyFormattedCitation":"[1]"},"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[1]</w:t>
      </w:r>
      <w:r w:rsidR="009F332E" w:rsidRPr="00C87A6C">
        <w:rPr>
          <w:rFonts w:ascii="Garamond" w:hAnsi="Garamond"/>
          <w:sz w:val="24"/>
          <w:szCs w:val="24"/>
        </w:rPr>
        <w:fldChar w:fldCharType="end"/>
      </w:r>
      <w:r w:rsidRPr="00C87A6C">
        <w:rPr>
          <w:rFonts w:ascii="Garamond" w:hAnsi="Garamond"/>
          <w:sz w:val="24"/>
          <w:szCs w:val="24"/>
        </w:rPr>
        <w:t xml:space="preserve">. Furthermore, high-level pose descriptors and temporal joint sequences offer lightweight alternatives to pixel-based methods, making them suitable for real-time applications </w:t>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{"citationItems":[{"id":"ITEM-1","itemData":{"DOI":"10.1109/TMM.2019.2944745","ISSN":"19410077","abstract":"Human Action Recognition (HAR) for CCTV-oriented applications is still a challenging problem. Real-world scenarios HAR implementations is difficult because of the gap between Deep Learning data requirements and what the CCTV-based frameworks can offer in terms of data recording equipments. We propose to reduce this gap by exploiting human poses provided by the OpenPose, which has been already proven to be an effective detector in CCTV-like recordings for tracking applications. Therefore, in this work, we first propose ActionXPose: a novel 2D pose-based approach for pose-level HAR. ActionXPose extracts low- and high-level features from body poses which are provided to a Long Short-Term Memory Neural Network and a 1D Convolutional Neural Network for the classification. We also provide a new dataset, named ISLD, for realistic pose-level HAR in a CCTV-like environment, recorded in the Intelligent Sensing Lab. ActionXPose is extensively tested on ISLD under multiple experimental settings, e.g. Dataset Augmentation and Cross-Dataset setting, as well as revising other existing datasets for HAR. ActionXPose achieves state-of-the-art performance in terms of accuracy, very high robustness to occlusions and missing data, and promising results for practical implementation in real-world applications.","author":[{"dropping-particle":"","family":"Angelini","given":"Federico","non-dropping-particle":"","parse-names":false,"suffix":""},{"dropping-particle":"","family":"Fu","given":"Zeyu","non-dropping-particle":"","parse-names":false,"suffix":""},{"dropping-particle":"","family":"Long","given":"Yang","non-dropping-particle":"","parse-names":false,"suffix":""},{"dropping-particle":"","family":"Shao","given":"Ling","non-dropping-particle":"","parse-names":false,"suffix":""},{"dropping-particle":"","family":"Naqvi","given":"Syed Mohsen","non-dropping-particle":"","parse-names":false,"suffix":""}],"container-title":"IEEE Transactions on Multimedia","id":"ITEM-1","issue":"6","issued":{"date-parts":[["2020","6","1"]]},"page":"1433-1446","publisher":"Institute of Electrical and Electronics Engineers Inc.","title":"2D pose-based real-time human action recognition with occlusion-handling","type":"article-journal","volume":"22"},"uris":["http://www.mendeley.com/documents/?uuid=0fded3d4-9c46-32ce-82bb-d82f59e872e2"]}],"mendeley":{"formattedCitation":"[2]","plainTextFormattedCitation":"[2]","previouslyFormattedCitation":"[2]"},"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[2]</w:t>
      </w:r>
      <w:r w:rsidR="009F332E" w:rsidRPr="00C87A6C">
        <w:rPr>
          <w:rFonts w:ascii="Garamond" w:hAnsi="Garamond"/>
          <w:sz w:val="24"/>
          <w:szCs w:val="24"/>
        </w:rPr>
        <w:fldChar w:fldCharType="end"/>
      </w:r>
      <w:r w:rsidRPr="00C87A6C">
        <w:rPr>
          <w:rFonts w:ascii="Garamond" w:hAnsi="Garamond"/>
          <w:sz w:val="24"/>
          <w:szCs w:val="24"/>
        </w:rPr>
        <w:t>. However, most existing approaches rely on complete and noise-free skeleton data, which is rarely available in real-world environments.</w:t>
      </w:r>
    </w:p>
    <w:p w14:paraId="6E88751C" w14:textId="42455882"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 xml:space="preserve">In practical scenarios, accurate acquisition of full skeleton data remains a major challenge due to occlusions caused by furniture, other humans, camera viewpoint limitations, and self-occlusion of body parts. Such occlusions significantly degrade recognition performance, particularly when critical joints such as arms are missing during upper-body actions </w:t>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{"citationItems":[{"id":"ITEM-1","itemData":{"author":[{"dropping-particle":"","family":"Ilias Giannakos, Eirini Mathe","given":"","non-dropping-particle":"","parse-names":false,"suffix":""}],"container-title":"ACM International Conference Proceeding Series","id":"ITEM-1","issued":{"date-parts":[["2021"]]},"title":"A study on the Effect of Occlusion in Human Activity Recognition","type":"article-journal"},"uris":["http://www.mendeley.com/documents/?uuid=f60eb3e7-a2e5-4385-bf07-264efcd55f7c"]}],"mendeley":{"formattedCitation":"[3]","plainTextFormattedCitation":"[3]","previouslyFormattedCitation":"[3]"},"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[3]</w:t>
      </w:r>
      <w:r w:rsidR="009F332E" w:rsidRPr="00C87A6C">
        <w:rPr>
          <w:rFonts w:ascii="Garamond" w:hAnsi="Garamond"/>
          <w:sz w:val="24"/>
          <w:szCs w:val="24"/>
        </w:rPr>
        <w:fldChar w:fldCharType="end"/>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{"citationItems":[{"id":"ITEM-1","itemData":{"DOI":"https://doi.org/10.3390/s25051567","author":[{"dropping-particle":"","family":"Rubén San-Segundo, Fernando Fernández-Martínez","given":"","non-dropping-particle":"","parse-names":false,"suffix":""}],"container-title":"Sensors","id":"ITEM-1","issue":"5","issued":{"date-parts":[["2025"]]},"page":"1567","title":"Skeleton Reconstruction Using Generative Adversarial Networks for Human Activity Recognition Under Occlusion","type":"article-journal","volume":"25"},"uris":["http://www.mendeley.com/documents/?uuid=fcd96bf5-28cd-47f7-8099-3321dd7d5800"]}],"mendeley":{"formattedCitation":"[4]","plainTextFormattedCitation":"[4]","previouslyFormattedCitation":"[4]"},"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[4]</w:t>
      </w:r>
      <w:r w:rsidR="009F332E" w:rsidRPr="00C87A6C">
        <w:rPr>
          <w:rFonts w:ascii="Garamond" w:hAnsi="Garamond"/>
          <w:sz w:val="24"/>
          <w:szCs w:val="24"/>
        </w:rPr>
        <w:fldChar w:fldCharType="end"/>
      </w:r>
      <w:r w:rsidRPr="00C87A6C">
        <w:rPr>
          <w:rFonts w:ascii="Garamond" w:hAnsi="Garamond"/>
          <w:sz w:val="24"/>
          <w:szCs w:val="24"/>
        </w:rPr>
        <w:t>. These challenges highlight the need for robust frameworks capable of handling incomplete skeletal data.</w:t>
      </w:r>
    </w:p>
    <w:p w14:paraId="0401B5C7" w14:textId="47A2A64D"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 xml:space="preserve">Traditional approaches, including interpolation, filtering, and statistical estimation, have been employed to handle missing joints; however, they fail to capture complex spatial–temporal dependencies of human motion under severe occlusion. To address this, deep learning-based methods such as Recurrent Neural Networks (RNNs), </w:t>
      </w:r>
      <w:r w:rsidR="00C87A6C" w:rsidRPr="00C87A6C">
        <w:rPr>
          <w:rFonts w:ascii="Garamond" w:hAnsi="Garamond"/>
          <w:sz w:val="24"/>
          <w:szCs w:val="24"/>
        </w:rPr>
        <w:t>Long Short-Term Memory (LSTM) networks</w:t>
      </w:r>
      <w:r w:rsidRPr="00C87A6C">
        <w:rPr>
          <w:rFonts w:ascii="Garamond" w:hAnsi="Garamond"/>
          <w:sz w:val="24"/>
          <w:szCs w:val="24"/>
        </w:rPr>
        <w:t>, Convolutional Recurrent Neural Networks (CRNNs), and Bidirectional LSTMs (</w:t>
      </w:r>
      <w:proofErr w:type="spellStart"/>
      <w:r w:rsidRPr="00C87A6C">
        <w:rPr>
          <w:rFonts w:ascii="Garamond" w:hAnsi="Garamond"/>
          <w:sz w:val="24"/>
          <w:szCs w:val="24"/>
        </w:rPr>
        <w:t>BiLSTMs</w:t>
      </w:r>
      <w:proofErr w:type="spellEnd"/>
      <w:r w:rsidRPr="00C87A6C">
        <w:rPr>
          <w:rFonts w:ascii="Garamond" w:hAnsi="Garamond"/>
          <w:sz w:val="24"/>
          <w:szCs w:val="24"/>
        </w:rPr>
        <w:t xml:space="preserve">) have been proposed, demonstrating improved temporal modeling capabilities. Hybrid architectures combining CNNs and LSTMs further enhance the ability to capture complex motion patterns </w:t>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{"citationItems":[{"id":"ITEM-1","itemData":{"author":[{"dropping-particle":"","family":"Yu Kong, Yun Fu","given":"","non-dropping-particle":"","parse-names":false,"suffix":""}],"container-title":"arXiv:1806.11230","id":"ITEM-1","issued":{"date-parts":[["2022"]]},"title":"Human Action Recognition and Prediction: A Survey","type":"article-journal"},"uris":["http://www.mendeley.com/documents/?uuid=92b46e0b-fb29-491f-b332-96102e3e8195"]}],"mendeley":{"formattedCitation":"[5]","plainTextFormattedCitation":"[5]","previouslyFormattedCitation":"[5]"},"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[5]</w:t>
      </w:r>
      <w:r w:rsidR="009F332E" w:rsidRPr="00C87A6C">
        <w:rPr>
          <w:rFonts w:ascii="Garamond" w:hAnsi="Garamond"/>
          <w:sz w:val="24"/>
          <w:szCs w:val="24"/>
        </w:rPr>
        <w:fldChar w:fldCharType="end"/>
      </w:r>
      <w:r w:rsidRPr="00C87A6C">
        <w:rPr>
          <w:rFonts w:ascii="Garamond" w:hAnsi="Garamond"/>
          <w:sz w:val="24"/>
          <w:szCs w:val="24"/>
        </w:rPr>
        <w:t xml:space="preserve">. More recently, advanced learning strategies have been introduced to improve robustness. Attention-based methods, including reinforcement learning-driven </w:t>
      </w:r>
      <w:proofErr w:type="spellStart"/>
      <w:r w:rsidRPr="00C87A6C">
        <w:rPr>
          <w:rFonts w:ascii="Garamond" w:hAnsi="Garamond"/>
          <w:sz w:val="24"/>
          <w:szCs w:val="24"/>
        </w:rPr>
        <w:t>spatio</w:t>
      </w:r>
      <w:proofErr w:type="spellEnd"/>
      <w:r w:rsidRPr="00C87A6C">
        <w:rPr>
          <w:rFonts w:ascii="Garamond" w:hAnsi="Garamond"/>
          <w:sz w:val="24"/>
          <w:szCs w:val="24"/>
        </w:rPr>
        <w:t xml:space="preserve">-temporal attention </w:t>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{"citationItems":[{"id":"ITEM-1","itemData":{"DOI":"https://doi.org/10.1016/j.patcog.2023.109428","author":[{"dropping-particle":"","family":"Bahareh Nikpour, Narges Armanfard","given":"","non-dropping-particle":"","parse-names":false,"suffix":""}],"container-title":"Pattern Recognition","id":"ITEM-1","issued":{"date-parts":[["2023"]]},"page":"109428","title":"Spatio-temporal hard attention learning for skeleton-based activity recognition","type":"article-journal","volume":"139"},"uris":["http://www.mendeley.com/documents/?uuid=8eacd182-6182-45bc-b742-cac63e3072c5"]}],"mendeley":{"formattedCitation":"[6]","plainTextFormattedCitation":"[6]","previouslyFormattedCitation":"[6]"},"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[6]</w:t>
      </w:r>
      <w:r w:rsidR="009F332E" w:rsidRPr="00C87A6C">
        <w:rPr>
          <w:rFonts w:ascii="Garamond" w:hAnsi="Garamond"/>
          <w:sz w:val="24"/>
          <w:szCs w:val="24"/>
        </w:rPr>
        <w:fldChar w:fldCharType="end"/>
      </w:r>
      <w:r w:rsidRPr="00C87A6C">
        <w:rPr>
          <w:rFonts w:ascii="Garamond" w:hAnsi="Garamond"/>
          <w:sz w:val="24"/>
          <w:szCs w:val="24"/>
        </w:rPr>
        <w:t xml:space="preserve"> and gated self-attention mechanisms </w:t>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{"citationItems":[{"id":"ITEM-1","itemData":{"DOI":"10.1007/S10044-023-01179-3","ISSN":"1433-755X","abstract":"Human body skeleton, acting as a spatiotemporal graph, is the key inspiration for researchers to implement a GCN-based method for action recognition. Most recently proposed GCN-based techniques combine convolutions with a self-attention mechanism to extract the most informative joint of a human skeleton and increase the model accuracy. However, the traditional multi-head attention method absorbed all attention heads equally, whereas in most situations, especially for extended skeleton sequences, not all attention heads are expected. Therefore, we present a spatial–temporal gated graph attention network (ST-GGANet) to learn the spatial–temporal patterns of skeleton sequences. The proposed approach uses a lightweight self-attention-based gate layer to pay attention to the important body parts or joints of human skeleton sequences. Experiments show that by introducing an additional gate layer, which controls the significance of each attention head, the proposed model achieved better action classification results while keeping computational cost low. The proposed framework has been evaluated on well-known publicly available large-scale datasets NTU60, NTU120, and Kinetics-400, which notably outperforms state-of-the-art (SOTA) results with an accuracy of 96.5%, 87.3%, and 60.4%, respectively.","author":[{"dropping-particle":"","family":"Rahevar","given":"Mrugendrasinh","non-dropping-particle":"","parse-names":false,"suffix":""},{"dropping-particle":"","family":"Ganatra","given":"Amit","non-dropping-particle":"","parse-names":false,"suffix":""}],"container-title":"Pattern Analysis and Applications 2023 26:3","id":"ITEM-1","issue":"3","issued":{"date-parts":[["2023","6","22"]]},"page":"929-939","publisher":"Springer","title":"Spatial–Temporal gated graph attention network for skeleton-based action recognition","type":"article-journal","volume":"26"},"uris":["http://www.mendeley.com/documents/?uuid=ec57b77e-7e2a-3b42-9b12-66807061b78d"]}],"mendeley":{"formattedCitation":"[7]","plainTextFormattedCitation":"[7]","previouslyFormattedCitation":"[7]"},"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[7]</w:t>
      </w:r>
      <w:r w:rsidR="009F332E" w:rsidRPr="00C87A6C">
        <w:rPr>
          <w:rFonts w:ascii="Garamond" w:hAnsi="Garamond"/>
          <w:sz w:val="24"/>
          <w:szCs w:val="24"/>
        </w:rPr>
        <w:fldChar w:fldCharType="end"/>
      </w:r>
      <w:r w:rsidRPr="00C87A6C">
        <w:rPr>
          <w:rFonts w:ascii="Garamond" w:hAnsi="Garamond"/>
          <w:sz w:val="24"/>
          <w:szCs w:val="24"/>
        </w:rPr>
        <w:t xml:space="preserve">, focus on informative joints and suppress noise. Transformer-based architectures have further advanced the field by effectively modeling long-range spatial dependencies and global joint relationships, outperforming conventional recurrent models in sequence modeling tasks </w:t>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{"citationItems":[{"id":"ITEM-1","itemData":{"DOI":"https://doi.org/10.1016/j.neucom.2023.03.001","author":[{"dropping-particle":"","family":"Wentian Xin, Ruyi Liu","given":"","non-dropping-particle":"","parse-names":false,"suffix":""}],"container-title":"Neurocomputing","id":"ITEM-1","issued":{"date-parts":[["2023"]]},"page":"164-186","title":"Transformer for Skeleton-based action recognition: A review of recent advances","type":"article-journal","volume":"537"},"uris":["http://www.mendeley.com/documents/?uuid=153c5aa4-03bf-4eb4-9043-222654c9803b"]}],"mendeley":{"formattedCitation":"[8]","plainTextFormattedCitation":"[8]","previouslyFormattedCitation":"[8]"},"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[8]</w:t>
      </w:r>
      <w:r w:rsidR="009F332E" w:rsidRPr="00C87A6C">
        <w:rPr>
          <w:rFonts w:ascii="Garamond" w:hAnsi="Garamond"/>
          <w:sz w:val="24"/>
          <w:szCs w:val="24"/>
        </w:rPr>
        <w:fldChar w:fldCharType="end"/>
      </w:r>
      <w:r w:rsidRPr="00C87A6C">
        <w:rPr>
          <w:rFonts w:ascii="Garamond" w:hAnsi="Garamond"/>
          <w:sz w:val="24"/>
          <w:szCs w:val="24"/>
        </w:rPr>
        <w:t xml:space="preserve">. Additionally, techniques such as </w:t>
      </w:r>
      <w:proofErr w:type="spellStart"/>
      <w:r w:rsidRPr="00C87A6C">
        <w:rPr>
          <w:rFonts w:ascii="Garamond" w:hAnsi="Garamond"/>
          <w:sz w:val="24"/>
          <w:szCs w:val="24"/>
        </w:rPr>
        <w:t>amodal</w:t>
      </w:r>
      <w:proofErr w:type="spellEnd"/>
      <w:r w:rsidRPr="00C87A6C">
        <w:rPr>
          <w:rFonts w:ascii="Garamond" w:hAnsi="Garamond"/>
          <w:sz w:val="24"/>
          <w:szCs w:val="24"/>
        </w:rPr>
        <w:t xml:space="preserve"> reasoning </w:t>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DOI":"10.1109/TAFE.2026.3670352","ISSN":"2771-9529","author":[{"dropping-particle":"","family":"Beldek","given":"Caner","non-dropping-particle":"","parse-names":false,"suffix":""},{"dropping-particle":"","family":"Sariyildiz","given":"Emre","non-dropping-particle":"","parse-names":false,"suffix":""},{"dropping-particle":"","family":"Phung","given":"Son Lam","non-dropping-particle":"","parse-names":false,"suffix":""},{"dropping-particle":"","family":"Alici","given":"Gursel","non-dropping-particle":"","parse-names":false,"suffix":""}],"container-title":"IEEE Transactions on AgriFood Electronics","id":"ITEM-1","issued":{"date-parts":[["2026"]]},"page":"1-9","title":"GDA-YOLO11: Amodal Instance Segmentation for Occlusion-Robust Robotic Fruit Harvesting","type":"article-journal"},"uris":["http://www.mendeley.com/documents/?uuid=d5f3c40e-b2e3-3cb1-95a3-39da93fda48a"]}],"mendeley":{"formattedCitation":"[9]","plainTextFormattedCitation":"[9]","previouslyFormattedCitation":"[9]"},"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[9]</w:t>
      </w:r>
      <w:r w:rsidR="009F332E" w:rsidRPr="00C87A6C">
        <w:rPr>
          <w:rFonts w:ascii="Garamond" w:hAnsi="Garamond"/>
          <w:sz w:val="24"/>
          <w:szCs w:val="24"/>
        </w:rPr>
        <w:fldChar w:fldCharType="end"/>
      </w:r>
      <w:r w:rsidRPr="00C87A6C">
        <w:rPr>
          <w:rFonts w:ascii="Garamond" w:hAnsi="Garamond"/>
          <w:sz w:val="24"/>
          <w:szCs w:val="24"/>
        </w:rPr>
        <w:t xml:space="preserve"> and multi-task learning </w:t>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{"citationItems":[{"id":"ITEM-1","itemData":{"author":[{"dropping-particle":"","family":"Nilaksh Das, Sheng-Yun Peng, Duen Horng Chau","given":"","non-dropping-particle":"","parse-names":false,"suffix":""}],"container-title":"arXiv:2204.00734","id":"ITEM-1","issued":{"date-parts":[["2022"]]},"title":"SkeleVision: Towards Adversarial Resiliency of Person Tracking with Multi-Task Learning","type":"article-journal"},"uris":["http://www.mendeley.com/documents/?uuid=25d02b94-cbbd-4b24-a420-81645c5465ac"]}],"mendeley":{"formattedCitation":"[10]","plainTextFormattedCitation":"[10]","previouslyFormattedCitation":"[10]"},"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[10]</w:t>
      </w:r>
      <w:r w:rsidR="009F332E" w:rsidRPr="00C87A6C">
        <w:rPr>
          <w:rFonts w:ascii="Garamond" w:hAnsi="Garamond"/>
          <w:sz w:val="24"/>
          <w:szCs w:val="24"/>
        </w:rPr>
        <w:fldChar w:fldCharType="end"/>
      </w:r>
      <w:r w:rsidRPr="00C87A6C">
        <w:rPr>
          <w:rFonts w:ascii="Garamond" w:hAnsi="Garamond"/>
          <w:sz w:val="24"/>
          <w:szCs w:val="24"/>
        </w:rPr>
        <w:t xml:space="preserve"> have been explored to infer occluded body parts and improve robustness in complex environments.</w:t>
      </w:r>
    </w:p>
    <w:p w14:paraId="50A7377C" w14:textId="72ECF59C"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 xml:space="preserve">Generative Adversarial Networks (GANs) have shown promising results in reconstructing missing or corrupted skeleton data by learning the underlying distribution of human motion. In particular, GAN-based frameworks using CRNN generators and LSTM discriminators have demonstrated significant improvements over regression-based methods in reconstructing occluded skeletons. However, these approaches are still limited in capturing long-range dependencies, motivating the integration of Transformer-based architectures within GAN frameworks. In this research, the overall workflow begins with the identification of occluded skeleton data under multiple real-world scenarios, as shown in Fig. 1. Eight distinct occlusion cases are considered, including single-limb, dual-limb, and full-limb occlusions. A GAN-based framework is then employed to reconstruct missing joints, where two generator architectures are explored: CRNN combined with </w:t>
      </w:r>
      <w:proofErr w:type="spellStart"/>
      <w:r w:rsidRPr="00C87A6C">
        <w:rPr>
          <w:rFonts w:ascii="Garamond" w:hAnsi="Garamond"/>
          <w:sz w:val="24"/>
          <w:szCs w:val="24"/>
        </w:rPr>
        <w:t>BiLSTM</w:t>
      </w:r>
      <w:proofErr w:type="spellEnd"/>
      <w:r w:rsidRPr="00C87A6C">
        <w:rPr>
          <w:rFonts w:ascii="Garamond" w:hAnsi="Garamond"/>
          <w:sz w:val="24"/>
          <w:szCs w:val="24"/>
        </w:rPr>
        <w:t>, and a Transformer-based generator. The reconstructed skeleton sequences are subsequently passed to an LSTM-based classifier for human activity recognition, and performance is evaluated and compared with benchmark methods. This paper focuses on: (</w:t>
      </w:r>
      <w:proofErr w:type="spellStart"/>
      <w:r w:rsidRPr="00C87A6C">
        <w:rPr>
          <w:rFonts w:ascii="Garamond" w:hAnsi="Garamond"/>
          <w:sz w:val="24"/>
          <w:szCs w:val="24"/>
        </w:rPr>
        <w:t>i</w:t>
      </w:r>
      <w:proofErr w:type="spellEnd"/>
      <w:r w:rsidRPr="00C87A6C">
        <w:rPr>
          <w:rFonts w:ascii="Garamond" w:hAnsi="Garamond"/>
          <w:sz w:val="24"/>
          <w:szCs w:val="24"/>
        </w:rPr>
        <w:t>) reconstructing occluded 3D human skeletons under multiple challenging scenarios, (ii) investigating the effectiveness of CRNN+BiLSTM and Transformer architectures within a GAN framework, and (iii) improving activity recognition accuracy using reconstructed skeleton data.</w:t>
      </w:r>
    </w:p>
    <w:p w14:paraId="6E492CDA" w14:textId="77777777"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The novelty of this work lies in the comparative analysis of GAN-CRNN+BiLSTM and GAN-Transformer models for skeleton reconstruction, demonstrating significant performance improvements over existing benchmark approaches, particularly in complex occlusion conditions.</w:t>
      </w:r>
    </w:p>
    <w:p w14:paraId="084A9C16" w14:textId="1C39FA3F" w:rsidR="00015737" w:rsidRPr="00C87A6C" w:rsidRDefault="00015737" w:rsidP="00015737">
      <w:pPr>
        <w:spacing w:after="0" w:line="240" w:lineRule="auto"/>
        <w:ind w:left="720" w:hanging="720"/>
        <w:jc w:val="both"/>
        <w:rPr>
          <w:rFonts w:ascii="Garamond" w:hAnsi="Garamond"/>
          <w:b/>
          <w:sz w:val="24"/>
          <w:szCs w:val="24"/>
        </w:rPr>
      </w:pPr>
      <w:r w:rsidRPr="00C87A6C">
        <w:rPr>
          <w:rFonts w:ascii="Garamond" w:hAnsi="Garamond"/>
          <w:b/>
          <w:sz w:val="24"/>
          <w:szCs w:val="24"/>
        </w:rPr>
        <w:t>Research Objectives</w:t>
      </w:r>
      <w:r w:rsidR="002333B0" w:rsidRPr="00C87A6C">
        <w:rPr>
          <w:rFonts w:ascii="Garamond" w:hAnsi="Garamond"/>
          <w:b/>
          <w:sz w:val="24"/>
          <w:szCs w:val="24"/>
        </w:rPr>
        <w:t>:</w:t>
      </w:r>
    </w:p>
    <w:p w14:paraId="5B3305B1" w14:textId="0884484C" w:rsidR="00015737" w:rsidRPr="00C87A6C" w:rsidRDefault="00015737" w:rsidP="00194C1C">
      <w:pPr>
        <w:pStyle w:val="ListParagraph"/>
        <w:spacing w:after="0" w:line="240" w:lineRule="auto"/>
        <w:ind w:left="0" w:firstLine="720"/>
        <w:jc w:val="both"/>
        <w:rPr>
          <w:rFonts w:ascii="Garamond" w:hAnsi="Garamond"/>
          <w:bCs/>
          <w:sz w:val="24"/>
          <w:szCs w:val="24"/>
        </w:rPr>
      </w:pPr>
      <w:r w:rsidRPr="00C87A6C">
        <w:rPr>
          <w:rFonts w:ascii="Garamond" w:hAnsi="Garamond"/>
          <w:sz w:val="24"/>
          <w:szCs w:val="24"/>
        </w:rPr>
        <w:t>The primary objective of this research is to develop an effective and robust framework for reconstructing occluded 3D human skeleton sequences to enhance Human Activity Recognition (HAR) performance. The specific objectives of the study are as follows:</w:t>
      </w:r>
      <w:r w:rsidR="00194C1C" w:rsidRPr="00C87A6C">
        <w:rPr>
          <w:rFonts w:ascii="Garamond" w:hAnsi="Garamond"/>
          <w:sz w:val="24"/>
          <w:szCs w:val="24"/>
        </w:rPr>
        <w:t xml:space="preserve"> </w:t>
      </w:r>
      <w:r w:rsidRPr="00C87A6C">
        <w:rPr>
          <w:rFonts w:ascii="Garamond" w:hAnsi="Garamond"/>
          <w:bCs/>
          <w:sz w:val="24"/>
          <w:szCs w:val="24"/>
        </w:rPr>
        <w:t>To design and implement a GAN-based reconstruction framework for recovering missing or occluded skeletal joint information. To develop and compare two advanced generator architectures:</w:t>
      </w:r>
      <w:r w:rsidR="00194C1C" w:rsidRPr="00C87A6C">
        <w:rPr>
          <w:rFonts w:ascii="Garamond" w:hAnsi="Garamond"/>
          <w:bCs/>
          <w:sz w:val="24"/>
          <w:szCs w:val="24"/>
        </w:rPr>
        <w:t xml:space="preserve"> </w:t>
      </w:r>
      <w:r w:rsidRPr="00C87A6C">
        <w:rPr>
          <w:rFonts w:ascii="Garamond" w:hAnsi="Garamond"/>
          <w:bCs/>
          <w:sz w:val="24"/>
          <w:szCs w:val="24"/>
        </w:rPr>
        <w:t>CRNN with Bidirectional LSTM (CRNN-</w:t>
      </w:r>
      <w:proofErr w:type="spellStart"/>
      <w:r w:rsidRPr="00C87A6C">
        <w:rPr>
          <w:rFonts w:ascii="Garamond" w:hAnsi="Garamond"/>
          <w:bCs/>
          <w:sz w:val="24"/>
          <w:szCs w:val="24"/>
        </w:rPr>
        <w:t>BiLSTM</w:t>
      </w:r>
      <w:proofErr w:type="spellEnd"/>
      <w:r w:rsidRPr="00C87A6C">
        <w:rPr>
          <w:rFonts w:ascii="Garamond" w:hAnsi="Garamond"/>
          <w:bCs/>
          <w:sz w:val="24"/>
          <w:szCs w:val="24"/>
        </w:rPr>
        <w:t xml:space="preserve">) for capturing local spatial and bidirectional temporal dependencies, </w:t>
      </w:r>
      <w:r w:rsidR="001572A1" w:rsidRPr="00C87A6C">
        <w:rPr>
          <w:rFonts w:ascii="Garamond" w:hAnsi="Garamond"/>
          <w:bCs/>
          <w:sz w:val="24"/>
          <w:szCs w:val="24"/>
        </w:rPr>
        <w:t>and</w:t>
      </w:r>
      <w:r w:rsidRPr="00C87A6C">
        <w:rPr>
          <w:rFonts w:ascii="Garamond" w:hAnsi="Garamond"/>
          <w:bCs/>
          <w:sz w:val="24"/>
          <w:szCs w:val="24"/>
        </w:rPr>
        <w:t xml:space="preserve"> Transformer-based model for learning global spatial–temporal relationships using self-attention mechanisms. To simulate realistic occlusion scenarios (e.g., limbs and combined body parts) to evaluate model robustness under varying levels of missing data. To incorporate structural and temporal constraints (bone consistency and motion smoothness) to improve the quality and realism of reconstructed skeleton sequences. To evaluate the effectiveness of reconstructed skeletons using quantitative metrics, including weighted accuracy, class-wise accuracy, and F1-score. To analyze the impact of skeleton reconstruction on downstream human activity recognition performance using an LSTM-based classifier.</w:t>
      </w:r>
    </w:p>
    <w:p w14:paraId="5476802F" w14:textId="5E244D54" w:rsidR="00015737" w:rsidRPr="00C87A6C" w:rsidRDefault="00015737" w:rsidP="00015737">
      <w:pPr>
        <w:pStyle w:val="ListParagraph"/>
        <w:spacing w:line="240" w:lineRule="auto"/>
        <w:ind w:left="0"/>
        <w:jc w:val="both"/>
        <w:rPr>
          <w:rFonts w:ascii="Garamond" w:hAnsi="Garamond"/>
          <w:b/>
          <w:sz w:val="24"/>
          <w:szCs w:val="24"/>
        </w:rPr>
      </w:pPr>
      <w:r w:rsidRPr="00C87A6C">
        <w:rPr>
          <w:rFonts w:ascii="Garamond" w:hAnsi="Garamond"/>
          <w:b/>
          <w:sz w:val="24"/>
          <w:szCs w:val="24"/>
        </w:rPr>
        <w:t>Novel Contributions</w:t>
      </w:r>
      <w:r w:rsidR="002333B0" w:rsidRPr="00C87A6C">
        <w:rPr>
          <w:rFonts w:ascii="Garamond" w:hAnsi="Garamond"/>
          <w:b/>
          <w:sz w:val="24"/>
          <w:szCs w:val="24"/>
        </w:rPr>
        <w:t>:</w:t>
      </w:r>
    </w:p>
    <w:p w14:paraId="791CE677" w14:textId="7DF53886" w:rsidR="00015737" w:rsidRPr="00C87A6C" w:rsidRDefault="00015737" w:rsidP="00194C1C">
      <w:pPr>
        <w:pStyle w:val="ListParagraph"/>
        <w:spacing w:after="0" w:line="240" w:lineRule="auto"/>
        <w:ind w:left="0" w:firstLine="720"/>
        <w:jc w:val="both"/>
        <w:rPr>
          <w:rFonts w:ascii="Garamond" w:hAnsi="Garamond"/>
          <w:sz w:val="24"/>
          <w:szCs w:val="24"/>
        </w:rPr>
      </w:pPr>
      <w:r w:rsidRPr="00C87A6C">
        <w:rPr>
          <w:rFonts w:ascii="Garamond" w:hAnsi="Garamond"/>
          <w:sz w:val="24"/>
          <w:szCs w:val="24"/>
        </w:rPr>
        <w:t>The novelty of this research lies in the development of an advanced and robust framework for reconstructing occluded 3D human skeleton sequences, specifically designed to enhance Human Activity Recognition (HAR) under challenging conditions. The key novel contributions of this study are summarized as follows:</w:t>
      </w:r>
      <w:r w:rsidR="00194C1C" w:rsidRPr="00C87A6C">
        <w:rPr>
          <w:rFonts w:ascii="Garamond" w:hAnsi="Garamond"/>
          <w:sz w:val="24"/>
          <w:szCs w:val="24"/>
        </w:rPr>
        <w:t xml:space="preserve"> </w:t>
      </w:r>
      <w:r w:rsidRPr="00C87A6C">
        <w:rPr>
          <w:rFonts w:ascii="Garamond" w:hAnsi="Garamond"/>
          <w:sz w:val="24"/>
          <w:szCs w:val="24"/>
        </w:rPr>
        <w:t>A dual-architecture GAN framework is proposed, integrating both CRNN-</w:t>
      </w:r>
      <w:proofErr w:type="spellStart"/>
      <w:r w:rsidRPr="00C87A6C">
        <w:rPr>
          <w:rFonts w:ascii="Garamond" w:hAnsi="Garamond"/>
          <w:sz w:val="24"/>
          <w:szCs w:val="24"/>
        </w:rPr>
        <w:t>BiLSTM</w:t>
      </w:r>
      <w:proofErr w:type="spellEnd"/>
      <w:r w:rsidRPr="00C87A6C">
        <w:rPr>
          <w:rFonts w:ascii="Garamond" w:hAnsi="Garamond"/>
          <w:sz w:val="24"/>
          <w:szCs w:val="24"/>
        </w:rPr>
        <w:t xml:space="preserve"> and Transformer-based generators, enabling a comprehensive comparison between sequential and attention-based modeling for skeleton reconstruction. Unlike conventional approaches, the proposed method incorporates structural (bone length consistency) and temporal smoothness constraints within the loss function, ensuring anatomically plausible and temporally coherent reconstructions. A systematic evaluation is performed under eight distinct occlusion scenarios, including partial and combined limb occlusions, providing a more realistic and comprehensive assessment compared to existing studies. The study introduces a Transformer-based GAN for skeleton reconstruction, which effectively captures long-range spatial–temporal dependencies using self-attention mechanisms—an approach not widely explored in occluded skeleton recovery.</w:t>
      </w:r>
      <w:r w:rsidR="00194C1C" w:rsidRPr="00C87A6C">
        <w:rPr>
          <w:rFonts w:ascii="Garamond" w:hAnsi="Garamond"/>
          <w:sz w:val="24"/>
          <w:szCs w:val="24"/>
        </w:rPr>
        <w:t xml:space="preserve"> </w:t>
      </w:r>
      <w:r w:rsidRPr="00C87A6C">
        <w:rPr>
          <w:rFonts w:ascii="Garamond" w:hAnsi="Garamond"/>
          <w:sz w:val="24"/>
          <w:szCs w:val="24"/>
        </w:rPr>
        <w:t>The impact of reconstruction quality is further analyzed through downstream Human Activity Recognition (HAR) using an LSTM-based classifier, bridging the gap between reconstruction and application-level performance.</w:t>
      </w:r>
      <w:r w:rsidR="00194C1C" w:rsidRPr="00C87A6C">
        <w:rPr>
          <w:rFonts w:ascii="Garamond" w:hAnsi="Garamond"/>
          <w:sz w:val="24"/>
          <w:szCs w:val="24"/>
        </w:rPr>
        <w:t xml:space="preserve"> </w:t>
      </w:r>
      <w:r w:rsidRPr="00C87A6C">
        <w:rPr>
          <w:rFonts w:ascii="Garamond" w:hAnsi="Garamond"/>
          <w:sz w:val="24"/>
          <w:szCs w:val="24"/>
        </w:rPr>
        <w:t>The proposed framework is designed to be computationally efficient and reproducible, making it suitable for real-world and real-time applications.</w:t>
      </w:r>
    </w:p>
    <w:p w14:paraId="64C259FD" w14:textId="5BE1B3D7" w:rsidR="00015737" w:rsidRPr="00C87A6C" w:rsidRDefault="00015737" w:rsidP="00015737">
      <w:pPr>
        <w:spacing w:after="0" w:line="240" w:lineRule="auto"/>
        <w:ind w:left="720" w:hanging="720"/>
        <w:jc w:val="both"/>
        <w:rPr>
          <w:rFonts w:ascii="Garamond" w:hAnsi="Garamond"/>
          <w:b/>
          <w:sz w:val="24"/>
          <w:szCs w:val="24"/>
        </w:rPr>
      </w:pPr>
      <w:r w:rsidRPr="00C87A6C">
        <w:rPr>
          <w:rFonts w:ascii="Garamond" w:hAnsi="Garamond"/>
          <w:b/>
          <w:sz w:val="24"/>
          <w:szCs w:val="24"/>
        </w:rPr>
        <w:t>Literature Review</w:t>
      </w:r>
      <w:r w:rsidR="002333B0" w:rsidRPr="00C87A6C">
        <w:rPr>
          <w:rFonts w:ascii="Garamond" w:hAnsi="Garamond"/>
          <w:b/>
          <w:sz w:val="24"/>
          <w:szCs w:val="24"/>
        </w:rPr>
        <w:t>:</w:t>
      </w:r>
    </w:p>
    <w:p w14:paraId="0F033B5F" w14:textId="7C3F0F65"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 xml:space="preserve">Human Activity Recognition (HAR) has emerged as an important research area due to its wide-ranging applications in healthcare, surveillance systems, human–computer interaction, and sports analytics. Among various data modalities, skeleton-based HAR has gained considerable attention because skeletal representations provide compact, structured, and informative descriptions of human motion while reducing background noise and appearance variations. Most existing studies rely on two-dimensional representations of skeletal motion </w:t>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{"citationItems":[{"id":"ITEM-1","itemData":{"author":[{"dropping-particle":"","family":"Chao Li, Qiaoyong Zhong, Di Xie, Shiliang Pu","given":"","non-dropping-particle":"","parse-names":false,"suffix":""}],"container-title":"arXiv:1704.07595","id":"ITEM-1","issued":{"date-parts":[["2017"]]},"title":"Skeleton-based Action Recognition with Convolutional Neural Networks","type":"article-journal"},"uris":["http://www.mendeley.com/documents/?uuid=279d30f2-8ce8-4b5e-958d-e1bcd354445a"]}],"mendeley":{"formattedCitation":"[11]","plainTextFormattedCitation":"[11]","previouslyFormattedCitation":"[11]"},"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[11]</w:t>
      </w:r>
      <w:r w:rsidR="009F332E" w:rsidRPr="00C87A6C">
        <w:rPr>
          <w:rFonts w:ascii="Garamond" w:hAnsi="Garamond"/>
          <w:sz w:val="24"/>
          <w:szCs w:val="24"/>
        </w:rPr>
        <w:fldChar w:fldCharType="end"/>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{"citationItems":[{"id":"ITEM-1","itemData":{"author":[{"dropping-particle":"","family":"Pichao Wang, Zhaoyang Li, Yonghong Hou, Wanqing Li","given":"","non-dropping-particle":"","parse-names":false,"suffix":""}],"container-title":"arXiv:1611.02447","id":"ITEM-1","issued":{"date-parts":[["2016"]]},"title":"Action Recognition Based on Joint Trajectory Maps Using Convolutional Neural Networks","type":"article-journal"},"uris":["http://www.mendeley.com/documents/?uuid=0d0ccc38-33bc-47de-8a33-cce36653658d"]}],"mendeley":{"formattedCitation":"[12]","plainTextFormattedCitation":"[12]","previouslyFormattedCitation":"[12]"},"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[12]</w:t>
      </w:r>
      <w:r w:rsidR="009F332E" w:rsidRPr="00C87A6C">
        <w:rPr>
          <w:rFonts w:ascii="Garamond" w:hAnsi="Garamond"/>
          <w:sz w:val="24"/>
          <w:szCs w:val="24"/>
        </w:rPr>
        <w:fldChar w:fldCharType="end"/>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{"citationItems":[{"id":"ITEM-1","itemData":{"DOI":"10.1109/TCSVT.2016.2628339","ISSN":"10518215","abstract":"This letter presents an effective method to encode the spatiotemporal information of a skeleton sequence into color texture images, referred to as skeleton optical spectra, and employs convolutional neural networks (ConvNets) to learn the discriminative features for action recognition. Such spectrum representation makes it possible to use a standard ConvNet architecture to learn suitable 'dynamic' features from skeleton sequences without training millions of parameters afresh and it is especially valuable when there is insufficient annotated training video data. Specifically, the encoding consists of four steps: mapping of joint distribution, spectrum coding of joint trajectories, spectrum coding of body parts, and joint velocity weighted saturation and brightness. Experimental results on three widely used datasets have demonstrated the efficacy of the proposed method.","author":[{"dropping-particle":"","family":"Hou","given":"Yonghong","non-dropping-particle":"","parse-names":false,"suffix":""},{"dropping-particle":"","family":"Li","given":"Zhaoyang","non-dropping-particle":"","parse-names":false,"suffix":""},{"dropping-particle":"","family":"Wang","given":"Pichao","non-dropping-particle":"","parse-names":false,"suffix":""},{"dropping-particle":"","family":"Li","given":"Wanqing","non-dropping-particle":"","parse-names":false,"suffix":""}],"container-title":"IEEE Transactions on Circuits and Systems for Video Technology","id":"ITEM-1","issue":"3","issued":{"date-parts":[["2018","3","1"]]},"page":"807-811","publisher":"Institute of Electrical and Electronics Engineers Inc.","title":"Skeleton Optical Spectra-Based Action Recognition Using Convolutional Neural Networks","type":"article-journal","volume":"28"},"uris":["http://www.mendeley.com/documents/?uuid=352247eb-f4d8-36f3-aed4-09192d898e7f"]}],"mendeley":{"formattedCitation":"[13]","plainTextFormattedCitation":"[13]","previouslyFormattedCitation":"[13]"},"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[13]</w:t>
      </w:r>
      <w:r w:rsidR="009F332E" w:rsidRPr="00C87A6C">
        <w:rPr>
          <w:rFonts w:ascii="Garamond" w:hAnsi="Garamond"/>
          <w:sz w:val="24"/>
          <w:szCs w:val="24"/>
        </w:rPr>
        <w:fldChar w:fldCharType="end"/>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{"citationItems":[{"id":"ITEM-1","itemData":{"DOI":"10.1109/LSP.2017.2678539","ISSN":"10709908","abstract":"Motivated by the promising performance achieved by deep learning, an effective yet simple method is proposed to encode the spatio-temporal information of skeleton sequences into color texture images, referred to as joint distance maps (JDMs), and convolutional neural networks are employed to exploit the discriminative features from the JDMs for human action and interaction recognition. The pair-wise distances between joints over a sequence of single or multiple person skeletons are encoded into color variations to capture temporal information. The efficacy of the proposed method has been verified by the state-of-the-art results on the large RGB+D Dataset and small UTD-MHAD Dataset in both single-view and cross-view settings.","author":[{"dropping-particle":"","family":"Li","given":"Chuankun","non-dropping-particle":"","parse-names":false,"suffix":""},{"dropping-particle":"","family":"Hou","given":"Yonghong","non-dropping-particle":"","parse-names":false,"suffix":""},{"dropping-particle":"","family":"Wang","given":"Pichao","non-dropping-particle":"","parse-names":false,"suffix":""},{"dropping-particle":"","family":"Li","given":"Wanqing","non-dropping-particle":"","parse-names":false,"suffix":""}],"container-title":"IEEE Signal Processing Letters","id":"ITEM-1","issue":"5","issued":{"date-parts":[["2017","5","1"]]},"page":"624-628","publisher":"Institute of Electrical and Electronics Engineers Inc.","title":"Joint Distance Maps Based Action Recognition with Convolutional Neural Networks","type":"article-journal","volume":"24"},"uris":["http://www.mendeley.com/documents/?uuid=7e210213-2ac6-307f-9892-f8c90762f864"]}],"mendeley":{"formattedCitation":"[14]","plainTextFormattedCitation":"[14]","previouslyFormattedCitation":"[14]"},"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[14]</w:t>
      </w:r>
      <w:r w:rsidR="009F332E" w:rsidRPr="00C87A6C">
        <w:rPr>
          <w:rFonts w:ascii="Garamond" w:hAnsi="Garamond"/>
          <w:sz w:val="24"/>
          <w:szCs w:val="24"/>
        </w:rPr>
        <w:fldChar w:fldCharType="end"/>
      </w:r>
      <w:r w:rsidR="009F332E" w:rsidRPr="00C87A6C">
        <w:rPr>
          <w:rFonts w:ascii="Garamond" w:hAnsi="Garamond"/>
          <w:sz w:val="24"/>
          <w:szCs w:val="24"/>
        </w:rPr>
        <w:fldChar w:fldCharType="begin" w:fldLock="1"/>
      </w:r>
      <w:r w:rsidR="009F332E" w:rsidRPr="00C87A6C">
        <w:rPr>
          <w:rFonts w:ascii="Garamond" w:hAnsi="Garamond"/>
          <w:sz w:val="24"/>
          <w:szCs w:val="24"/>
        </w:rPr>
        <w:instrText>ADDIN CSL_CITATION {"citationItems":[{"id":"ITEM-1","itemData":{"DOI":"https://doi.org/10.1016/j.patcog.2017.02.030","author":[{"dropping-particle":"","family":"Mengyuan Liu, Hong Liu","given":"","non-dropping-particle":"","parse-names":false,"suffix":""}],"container-title":"Pattern Recognition","id":"ITEM-1","issued":{"date-parts":[["2017"]]},"page":"346-362","title":"Enhanced skeleton visualization for view invariant human action recognition","type":"article-journal","volume":"68"},"uris":["http://www.mendeley.com/documents/?uuid=9c0d32d6-2123-4eb2-98df-aa3f3dee18a8"]}],"mendeley":{"formattedCitation":"[15]","plainTextFormattedCitation":"[15]","previouslyFormattedCitation":"[15]"},"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[15]</w:t>
      </w:r>
      <w:r w:rsidR="009F332E" w:rsidRPr="00C87A6C">
        <w:rPr>
          <w:rFonts w:ascii="Garamond" w:hAnsi="Garamond"/>
          <w:sz w:val="24"/>
          <w:szCs w:val="24"/>
        </w:rPr>
        <w:fldChar w:fldCharType="end"/>
      </w:r>
      <w:r w:rsidR="009F332E" w:rsidRPr="00C87A6C">
        <w:rPr>
          <w:rFonts w:ascii="Garamond" w:hAnsi="Garamond"/>
          <w:sz w:val="24"/>
          <w:szCs w:val="24"/>
        </w:rPr>
        <w:fldChar w:fldCharType="begin" w:fldLock="1"/>
      </w:r>
      <w:r w:rsidR="0028441D" w:rsidRPr="00C87A6C">
        <w:rPr>
          <w:rFonts w:ascii="Garamond" w:hAnsi="Garamond"/>
          <w:sz w:val="24"/>
          <w:szCs w:val="24"/>
        </w:rPr>
        <w:instrText>ADDIN CSL_CITATION {"citationItems":[{"id":"ITEM-1","itemData":{"DOI":"10.1109/LSP.2017.2690339","ISSN":"10709908","abstract":"This letter presents SkeletonNet, a deep learning framework for skeleton-based 3-D action recognition. Given a skeleton sequence, the spatial structure of the skeleton joints in each frame and the temporal information between multiple frames are two important factors for action recognition. We first extract body-part-based features from each frame of the skeleton sequence. Compared to the original coordinates of the skeleton joints, the proposed features are translation, rotation, and scale invariant. To learn robust temporal information, instead of treating the features of all frames as a time series, we transform the features into images and feed them to the proposed deep learning network, which contains two parts: one to extract general features from the input images, while the other to generate a discriminative and compact representation for action recognition. The proposed method is tested on the SBU kinect interaction dataset, the CMU dataset, and the large-scale NTU RGB+D dataset and achieves state-of-the-art performance.","author":[{"dropping-particle":"","family":"Ke","given":"Qiuhong","non-dropping-particle":"","parse-names":false,"suffix":""},{"dropping-particle":"","family":"An","given":"Senjian","non-dropping-particle":"","parse-names":false,"suffix":""},{"dropping-particle":"","family":"Bennamoun","given":"Mohammed","non-dropping-particle":"","parse-names":false,"suffix":""},{"dropping-particle":"","family":"Sohel","given":"Ferdous","non-dropping-particle":"","parse-names":false,"suffix":""},{"dropping-particle":"","family":"Boussaid","given":"Farid","non-dropping-particle":"","parse-names":false,"suffix":""}],"container-title":"IEEE Signal Processing Letters","id":"ITEM-1","issue":"6","issued":{"date-parts":[["2017","6","1"]]},"page":"731-735","publisher":"Institute of Electrical and Electronics Engineers Inc.","title":"SkeletonNet: Mining Deep Part Features for 3-D Action Recognition","type":"article-journal","volume":"24"},"uris":["http://www.mendeley.com/documents/?uuid=d5a99dfc-6903-3014-94be-7c2a9049d851"]}],"mendeley":{"formattedCitation":"[16]","plainTextFormattedCitation":"[16]","previouslyFormattedCitation":"[16]"},"properties":{"noteIndex":0},"schema":"https://github.com/citation-style-language/schema/raw/master/csl-citation.json"}</w:instrText>
      </w:r>
      <w:r w:rsidR="009F332E" w:rsidRPr="00C87A6C">
        <w:rPr>
          <w:rFonts w:ascii="Garamond" w:hAnsi="Garamond"/>
          <w:sz w:val="24"/>
          <w:szCs w:val="24"/>
        </w:rPr>
        <w:fldChar w:fldCharType="separate"/>
      </w:r>
      <w:r w:rsidR="009F332E" w:rsidRPr="00C87A6C">
        <w:rPr>
          <w:rFonts w:ascii="Garamond" w:hAnsi="Garamond"/>
          <w:noProof/>
          <w:sz w:val="24"/>
          <w:szCs w:val="24"/>
        </w:rPr>
        <w:t>[16]</w:t>
      </w:r>
      <w:r w:rsidR="009F332E" w:rsidRPr="00C87A6C">
        <w:rPr>
          <w:rFonts w:ascii="Garamond" w:hAnsi="Garamond"/>
          <w:sz w:val="24"/>
          <w:szCs w:val="24"/>
        </w:rPr>
        <w:fldChar w:fldCharType="end"/>
      </w:r>
      <w:r w:rsidRPr="00C87A6C">
        <w:rPr>
          <w:rFonts w:ascii="Garamond" w:hAnsi="Garamond"/>
          <w:sz w:val="24"/>
          <w:szCs w:val="24"/>
        </w:rPr>
        <w:t xml:space="preserve">. Furthermore, high-level pose descriptors and temporal joint sequences offer lightweight alternatives to pixel-based methods, making them suitable for real-time applications. </w:t>
      </w:r>
    </w:p>
    <w:p w14:paraId="0A0953AD" w14:textId="36372507"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 xml:space="preserve">However, despite these advantages, vision-based HAR systems still suffer significant performance degradation under partial occlusion, especially when critical body parts such as arms are missing during upper-body actions. Early investigations into occlusion effects demonstrated that recognition accuracy drops substantially under incomplete visibility, with arm occlusions having a more severe impact compared to leg occlusions. These findings emphasized the necessity for occlusion-robust recognition frameworks. To address this limitation, several convolutional neural network (CNN)-based skeleton encoding methods were introduced, including Joint Trajectory Maps (JTM), Skeleton Optical Spectra (SOS), and Joint Distance Maps (JDM). These approaches transform skeleton sequences into image-like representations and achieve strong performance on benchmark datasets; however, they generally assume complete skeleton availability and are therefore not robust under occlusion conditions. To overcome these limitations, hybrid deep learning architectures combining CNNs and Long Short-Term Memory (LSTM) networks have been proposed to model spatial and temporal dependencies in human motion. These methods demonstrate improved capability in capturing complex motion patterns. </w:t>
      </w:r>
    </w:p>
    <w:p w14:paraId="22DBD51D" w14:textId="45D2B46F"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 xml:space="preserve">Additionally, reinforcement learning-based approaches have introduced </w:t>
      </w:r>
      <w:proofErr w:type="spellStart"/>
      <w:r w:rsidRPr="00C87A6C">
        <w:rPr>
          <w:rFonts w:ascii="Garamond" w:hAnsi="Garamond"/>
          <w:sz w:val="24"/>
          <w:szCs w:val="24"/>
        </w:rPr>
        <w:t>spatio</w:t>
      </w:r>
      <w:proofErr w:type="spellEnd"/>
      <w:r w:rsidRPr="00C87A6C">
        <w:rPr>
          <w:rFonts w:ascii="Garamond" w:hAnsi="Garamond"/>
          <w:sz w:val="24"/>
          <w:szCs w:val="24"/>
        </w:rPr>
        <w:t xml:space="preserve">-temporal attention mechanisms that selectively focus on informative frames and joints, further enhancing recognition accuracy. Similarly, gated self-attention mechanisms improve performance by emphasizing relevant joints while suppressing noise in skeleton sequences. More recently, Transformer-based architectures have gained increasing attention due to their ability to capture long-range spatial dependencies and global joint relationships more effectively than Graph Convolutional Networks. Alongside this, </w:t>
      </w:r>
      <w:proofErr w:type="spellStart"/>
      <w:r w:rsidR="00C87A6C" w:rsidRPr="00C87A6C">
        <w:rPr>
          <w:rFonts w:ascii="Garamond" w:hAnsi="Garamond"/>
          <w:sz w:val="24"/>
          <w:szCs w:val="24"/>
        </w:rPr>
        <w:t>amodal</w:t>
      </w:r>
      <w:proofErr w:type="spellEnd"/>
      <w:r w:rsidR="00C87A6C" w:rsidRPr="00C87A6C">
        <w:rPr>
          <w:rFonts w:ascii="Garamond" w:hAnsi="Garamond"/>
          <w:sz w:val="24"/>
          <w:szCs w:val="24"/>
        </w:rPr>
        <w:t xml:space="preserve"> reasoning techniques</w:t>
      </w:r>
      <w:r w:rsidRPr="00C87A6C">
        <w:rPr>
          <w:rFonts w:ascii="Garamond" w:hAnsi="Garamond"/>
          <w:sz w:val="24"/>
          <w:szCs w:val="24"/>
        </w:rPr>
        <w:t xml:space="preserve"> have been explored to infer occluded body parts by modeling global spatial–temporal interactions. Furthermore, multi-task learning strategies, such as integrating tracking with human </w:t>
      </w:r>
      <w:proofErr w:type="spellStart"/>
      <w:r w:rsidRPr="00C87A6C">
        <w:rPr>
          <w:rFonts w:ascii="Garamond" w:hAnsi="Garamond"/>
          <w:sz w:val="24"/>
          <w:szCs w:val="24"/>
        </w:rPr>
        <w:t>keypoint</w:t>
      </w:r>
      <w:proofErr w:type="spellEnd"/>
      <w:r w:rsidRPr="00C87A6C">
        <w:rPr>
          <w:rFonts w:ascii="Garamond" w:hAnsi="Garamond"/>
          <w:sz w:val="24"/>
          <w:szCs w:val="24"/>
        </w:rPr>
        <w:t xml:space="preserve"> detection, have shown improved robustness in dynamic and complex environments. In parallel, regression-based methods using CRNN architectures have been introduced to reconstruct missing joints from partially observed skeletons. While these methods improve over simple imputation techniques, they often produce limited realism and struggle under severe occlusion. To address this, Generative Adversarial Network (GAN)-based frameworks have been proposed for skeleton reconstruction.</w:t>
      </w:r>
    </w:p>
    <w:p w14:paraId="668B7507" w14:textId="3F60E5B5"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 xml:space="preserve">In these approaches, a CRNN-based generator reconstructs missing joints, while an LSTM-based discriminator ensures temporal consistency and realism. These methods have demonstrated significant improvements over regression-based techniques across datasets such as UTKinect-Action3D, NTU-RGB+D, and PKU-MMD. Overall, existing studies indicate that CNN-based methods lack robustness to occlusion, regression-based approaches fail to produce realistic reconstructions, and CRNN-based GANs face limitations in capturing long-range temporal dependencies. These challenges highlight the need for more advanced GAN and Transformer-based frameworks for robust skeleton reconstruction under occlusion. On the other hand, Generative Adversarial Networks (GANs) have also been widely adopted in sensor-based HAR to model data distributions, generate realistic synthetic samples, and address data scarcity issues while improving </w:t>
      </w:r>
      <w:r w:rsidR="00C87A6C" w:rsidRPr="00C87A6C">
        <w:rPr>
          <w:rFonts w:ascii="Garamond" w:hAnsi="Garamond"/>
          <w:sz w:val="24"/>
          <w:szCs w:val="24"/>
        </w:rPr>
        <w:t>generalization performance</w:t>
      </w:r>
      <w:r w:rsidRPr="00C87A6C">
        <w:rPr>
          <w:rFonts w:ascii="Garamond" w:hAnsi="Garamond"/>
          <w:sz w:val="24"/>
          <w:szCs w:val="24"/>
        </w:rPr>
        <w:t xml:space="preserve">. </w:t>
      </w:r>
      <w:r w:rsidR="0028441D" w:rsidRPr="00C87A6C">
        <w:rPr>
          <w:rFonts w:ascii="Garamond" w:hAnsi="Garamond"/>
          <w:sz w:val="24"/>
          <w:szCs w:val="24"/>
        </w:rPr>
        <w:fldChar w:fldCharType="begin" w:fldLock="1"/>
      </w:r>
      <w:r w:rsidR="00781D2A" w:rsidRPr="00C87A6C">
        <w:rPr>
          <w:rFonts w:ascii="Garamond" w:hAnsi="Garamond"/>
          <w:sz w:val="24"/>
          <w:szCs w:val="24"/>
        </w:rPr>
        <w:instrText>ADDIN CSL_CITATION {"citationItems":[{"id":"ITEM-1","itemData":{"DOI":"https://doi.org/10.1016/j.eswa.2025.126976","author":[{"dropping-particle":"","family":"Zhixuan Yang, Timing Li","given":"","non-dropping-particle":"","parse-names":false,"suffix":""}],"container-title":"Expert Systems with Applications","id":"ITEM-1","issued":{"date-parts":[["2025"]]},"page":"126976","title":"Semi-supervised Human Activity Recognition with individual difference alignment","type":"article-journal","volume":"275"},"uris":["http://www.mendeley.com/documents/?uuid=f64a3e8d-6385-49ea-9356-12e3308a28f6"]}],"mendeley":{"formattedCitation":"[17]","plainTextFormattedCitation":"[17]","previouslyFormattedCitation":"[17]"},"properties":{"noteIndex":0},"schema":"https://github.com/citation-style-language/schema/raw/master/csl-citation.json"}</w:instrText>
      </w:r>
      <w:r w:rsidR="0028441D" w:rsidRPr="00C87A6C">
        <w:rPr>
          <w:rFonts w:ascii="Garamond" w:hAnsi="Garamond"/>
          <w:sz w:val="24"/>
          <w:szCs w:val="24"/>
        </w:rPr>
        <w:fldChar w:fldCharType="separate"/>
      </w:r>
      <w:r w:rsidR="0028441D" w:rsidRPr="00C87A6C">
        <w:rPr>
          <w:rFonts w:ascii="Garamond" w:hAnsi="Garamond"/>
          <w:noProof/>
          <w:sz w:val="24"/>
          <w:szCs w:val="24"/>
        </w:rPr>
        <w:t>[17]</w:t>
      </w:r>
      <w:r w:rsidR="0028441D" w:rsidRPr="00C87A6C">
        <w:rPr>
          <w:rFonts w:ascii="Garamond" w:hAnsi="Garamond"/>
          <w:sz w:val="24"/>
          <w:szCs w:val="24"/>
        </w:rPr>
        <w:fldChar w:fldCharType="end"/>
      </w:r>
      <w:r w:rsidRPr="00C87A6C">
        <w:rPr>
          <w:rFonts w:ascii="Garamond" w:hAnsi="Garamond"/>
          <w:sz w:val="24"/>
          <w:szCs w:val="24"/>
        </w:rPr>
        <w:t xml:space="preserve"> investigated the use of unlabeled wearable sensor data to mitigate data scarcity issues in HAR. Similarly, </w:t>
      </w:r>
      <w:r w:rsidR="00781D2A" w:rsidRPr="00C87A6C">
        <w:rPr>
          <w:rFonts w:ascii="Garamond" w:hAnsi="Garamond"/>
          <w:sz w:val="24"/>
          <w:szCs w:val="24"/>
        </w:rPr>
        <w:fldChar w:fldCharType="begin" w:fldLock="1"/>
      </w:r>
      <w:r w:rsidR="00781D2A" w:rsidRPr="00C87A6C">
        <w:rPr>
          <w:rFonts w:ascii="Garamond" w:hAnsi="Garamond"/>
          <w:sz w:val="24"/>
          <w:szCs w:val="24"/>
        </w:rPr>
        <w:instrText>ADDIN CSL_CITATION {"citationItems":[{"id":"ITEM-1","itemData":{"author":[{"dropping-particle":"","family":"Xi'ang Li, Jinqi Luo","given":"","non-dropping-particle":"","parse-names":false,"suffix":""}],"container-title":"UbiComp/ISWC 2020 Adjunct - Proceedings of the 2020 ACM International Joint Conference on Pervasive and Ubiquitous Computing and Proceedings of the 2020 ACM International Symposium on Wearable Computers","id":"ITEM-1","issued":{"date-parts":[["2020"]]},"title":"ActivityGAN: generative adversarial networks for data augmentation in sensor-based human activity recognition","type":"article-journal"},"uris":["http://www.mendeley.com/documents/?uuid=6205d21d-ff2f-4f43-99d3-726061cd0c57"]}],"mendeley":{"formattedCitation":"[18]","plainTextFormattedCitation":"[18]","previouslyFormattedCitation":"[18]"},"properties":{"noteIndex":0},"schema":"https://github.com/citation-style-language/schema/raw/master/csl-citation.json"}</w:instrText>
      </w:r>
      <w:r w:rsidR="00781D2A" w:rsidRPr="00C87A6C">
        <w:rPr>
          <w:rFonts w:ascii="Garamond" w:hAnsi="Garamond"/>
          <w:sz w:val="24"/>
          <w:szCs w:val="24"/>
        </w:rPr>
        <w:fldChar w:fldCharType="separate"/>
      </w:r>
      <w:r w:rsidR="00781D2A" w:rsidRPr="00C87A6C">
        <w:rPr>
          <w:rFonts w:ascii="Garamond" w:hAnsi="Garamond"/>
          <w:noProof/>
          <w:sz w:val="24"/>
          <w:szCs w:val="24"/>
        </w:rPr>
        <w:t>[18]</w:t>
      </w:r>
      <w:r w:rsidR="00781D2A" w:rsidRPr="00C87A6C">
        <w:rPr>
          <w:rFonts w:ascii="Garamond" w:hAnsi="Garamond"/>
          <w:sz w:val="24"/>
          <w:szCs w:val="24"/>
        </w:rPr>
        <w:fldChar w:fldCharType="end"/>
      </w:r>
      <w:r w:rsidRPr="00C87A6C">
        <w:rPr>
          <w:rFonts w:ascii="Garamond" w:hAnsi="Garamond"/>
          <w:sz w:val="24"/>
          <w:szCs w:val="24"/>
        </w:rPr>
        <w:t xml:space="preserve"> employed GANs for sensor data augmentation to improve model performance. </w:t>
      </w:r>
      <w:r w:rsidR="00781D2A" w:rsidRPr="00C87A6C">
        <w:rPr>
          <w:rFonts w:ascii="Garamond" w:hAnsi="Garamond"/>
          <w:sz w:val="24"/>
          <w:szCs w:val="24"/>
        </w:rPr>
        <w:fldChar w:fldCharType="begin" w:fldLock="1"/>
      </w:r>
      <w:r w:rsidR="00781D2A" w:rsidRPr="00C87A6C">
        <w:rPr>
          <w:rFonts w:ascii="Garamond" w:hAnsi="Garamond"/>
          <w:sz w:val="24"/>
          <w:szCs w:val="24"/>
        </w:rPr>
        <w:instrText>ADDIN CSL_CITATION {"citationItems":[{"id":"ITEM-1","itemData":{"author":[{"dropping-particle":"","family":"Alireza Abedin, Hamid Rezatofighi, Damith C. Ranasinghe","given":"","non-dropping-particle":"","parse-names":false,"suffix":""}],"container-title":"arXiv:2110.05732","id":"ITEM-1","issued":{"date-parts":[["2021"]]},"title":"Guided-GAN: Adversarial Representation Learning for Activity Recognition with Wearables","type":"article-journal"},"uris":["http://www.mendeley.com/documents/?uuid=1657eca5-b39c-4b17-8cc1-5c784f1767c0"]}],"mendeley":{"formattedCitation":"[19]","plainTextFormattedCitation":"[19]","previouslyFormattedCitation":"[19]"},"properties":{"noteIndex":0},"schema":"https://github.com/citation-style-language/schema/raw/master/csl-citation.json"}</w:instrText>
      </w:r>
      <w:r w:rsidR="00781D2A" w:rsidRPr="00C87A6C">
        <w:rPr>
          <w:rFonts w:ascii="Garamond" w:hAnsi="Garamond"/>
          <w:sz w:val="24"/>
          <w:szCs w:val="24"/>
        </w:rPr>
        <w:fldChar w:fldCharType="separate"/>
      </w:r>
      <w:r w:rsidR="00781D2A" w:rsidRPr="00C87A6C">
        <w:rPr>
          <w:rFonts w:ascii="Garamond" w:hAnsi="Garamond"/>
          <w:noProof/>
          <w:sz w:val="24"/>
          <w:szCs w:val="24"/>
        </w:rPr>
        <w:t>[19]</w:t>
      </w:r>
      <w:r w:rsidR="00781D2A" w:rsidRPr="00C87A6C">
        <w:rPr>
          <w:rFonts w:ascii="Garamond" w:hAnsi="Garamond"/>
          <w:sz w:val="24"/>
          <w:szCs w:val="24"/>
        </w:rPr>
        <w:fldChar w:fldCharType="end"/>
      </w:r>
      <w:r w:rsidRPr="00C87A6C">
        <w:rPr>
          <w:rFonts w:ascii="Garamond" w:hAnsi="Garamond"/>
          <w:sz w:val="24"/>
          <w:szCs w:val="24"/>
        </w:rPr>
        <w:t xml:space="preserve"> explored adversarial representation learning for sequential sensor data, enabling more effective knowledge transfer. </w:t>
      </w:r>
      <w:r w:rsidR="00781D2A" w:rsidRPr="00C87A6C">
        <w:rPr>
          <w:rFonts w:ascii="Garamond" w:hAnsi="Garamond"/>
          <w:sz w:val="24"/>
          <w:szCs w:val="24"/>
        </w:rPr>
        <w:fldChar w:fldCharType="begin" w:fldLock="1"/>
      </w:r>
      <w:r w:rsidR="00781D2A" w:rsidRPr="00C87A6C">
        <w:rPr>
          <w:rFonts w:ascii="Garamond" w:hAnsi="Garamond"/>
          <w:sz w:val="24"/>
          <w:szCs w:val="24"/>
        </w:rPr>
        <w:instrText>ADDIN CSL_CITATION {"citationItems":[{"id":"ITEM-1","itemData":{"DOI":"10.1109/TAES.2022.3221023","ISSN":"15579603","abstract":"Generative adversarial networks (GANs) have recently been proposed for the synthesis of RF micro-Doppler signatures to address the issue of low sample support and enable the training of deeper neural networks (DNNs) for enhanced RF signal classification. But GANs suffer from systemic kinematic inconsistencies that decrease performance when GAN-synthesized data is used for training DNNs in human activity recognition. As a solution to this problem, this article proposes the design of a multibranch GAN (MBGAN), which integrates domain knowledge into its architecture, and physics-aware metrics based on correlation and curve-matching in the loss function. The quality of the synthetic samples generated is evaluated via image quality metrics, the ability to synthesize data that reflects human physical properties and generalize to broader subject profiles, and the achieved classification accuracy. Our experimental results show the proposed approach generates synthetic data for training that more accurately matches target kinematics, resulting in an increase of 9% in classification accuracy when classifying 14 different ambulatory human activities.","author":[{"dropping-particle":"","family":"Rahman","given":"Mohammed Mahbubur","non-dropping-particle":"","parse-names":false,"suffix":""},{"dropping-particle":"","family":"Gurbuz","given":"Sevgi Z.","non-dropping-particle":"","parse-names":false,"suffix":""},{"dropping-particle":"","family":"Amin","given":"Moeness G.","non-dropping-particle":"","parse-names":false,"suffix":""}],"container-title":"IEEE Transactions on Aerospace and Electronic Systems","id":"ITEM-1","issue":"3","issued":{"date-parts":[["2023","6","1"]]},"page":"2994-3008","publisher":"Institute of Electrical and Electronics Engineers Inc.","title":"Physics-Aware Generative Adversarial Networks for Radar-Based Human Activity Recognition","type":"article-journal","volume":"59"},"uris":["http://www.mendeley.com/documents/?uuid=4098d5e6-6e7b-3fa5-a31d-f3c2e8cc8a59"]}],"mendeley":{"formattedCitation":"[20]","plainTextFormattedCitation":"[20]","previouslyFormattedCitation":"[20]"},"properties":{"noteIndex":0},"schema":"https://github.com/citation-style-language/schema/raw/master/csl-citation.json"}</w:instrText>
      </w:r>
      <w:r w:rsidR="00781D2A" w:rsidRPr="00C87A6C">
        <w:rPr>
          <w:rFonts w:ascii="Garamond" w:hAnsi="Garamond"/>
          <w:sz w:val="24"/>
          <w:szCs w:val="24"/>
        </w:rPr>
        <w:fldChar w:fldCharType="separate"/>
      </w:r>
      <w:r w:rsidR="00781D2A" w:rsidRPr="00C87A6C">
        <w:rPr>
          <w:rFonts w:ascii="Garamond" w:hAnsi="Garamond"/>
          <w:noProof/>
          <w:sz w:val="24"/>
          <w:szCs w:val="24"/>
        </w:rPr>
        <w:t>[20]</w:t>
      </w:r>
      <w:r w:rsidR="00781D2A" w:rsidRPr="00C87A6C">
        <w:rPr>
          <w:rFonts w:ascii="Garamond" w:hAnsi="Garamond"/>
          <w:sz w:val="24"/>
          <w:szCs w:val="24"/>
        </w:rPr>
        <w:fldChar w:fldCharType="end"/>
      </w:r>
      <w:r w:rsidRPr="00C87A6C">
        <w:rPr>
          <w:rFonts w:ascii="Garamond" w:hAnsi="Garamond"/>
          <w:sz w:val="24"/>
          <w:szCs w:val="24"/>
        </w:rPr>
        <w:t xml:space="preserve"> introduced physics-aware GANs to correct kinematic inconsistencies and enhance the realism of synthetic data. </w:t>
      </w:r>
      <w:r w:rsidR="00781D2A" w:rsidRPr="00C87A6C">
        <w:rPr>
          <w:rFonts w:ascii="Garamond" w:hAnsi="Garamond"/>
          <w:sz w:val="24"/>
          <w:szCs w:val="24"/>
        </w:rPr>
        <w:fldChar w:fldCharType="begin" w:fldLock="1"/>
      </w:r>
      <w:r w:rsidR="00781D2A" w:rsidRPr="00C87A6C">
        <w:rPr>
          <w:rFonts w:ascii="Garamond" w:hAnsi="Garamond"/>
          <w:sz w:val="24"/>
          <w:szCs w:val="24"/>
        </w:rPr>
        <w:instrText>ADDIN CSL_CITATION {"citationItems":[{"id":"ITEM-1","itemData":{"DOI":"https://doi.org/10.1016/j.neucom.2020.10.056","author":[{"dropping-particle":"","family":"Elnaz Soleimani, Ehsan Nazerfard","given":"","non-dropping-particle":"","parse-names":false,"suffix":""}],"container-title":"Neurocomputing","id":"ITEM-1","issued":{"date-parts":[["2021"]]},"page":"26-34","title":"Cross-subject transfer learning in human activity recognition systems using generative adversarial networks","type":"article-journal","volume":"426"},"uris":["http://www.mendeley.com/documents/?uuid=c2202143-5186-4de9-a4ec-9d1db9077888"]}],"mendeley":{"formattedCitation":"[21]","plainTextFormattedCitation":"[21]","previouslyFormattedCitation":"[21]"},"properties":{"noteIndex":0},"schema":"https://github.com/citation-style-language/schema/raw/master/csl-citation.json"}</w:instrText>
      </w:r>
      <w:r w:rsidR="00781D2A" w:rsidRPr="00C87A6C">
        <w:rPr>
          <w:rFonts w:ascii="Garamond" w:hAnsi="Garamond"/>
          <w:sz w:val="24"/>
          <w:szCs w:val="24"/>
        </w:rPr>
        <w:fldChar w:fldCharType="separate"/>
      </w:r>
      <w:r w:rsidR="00781D2A" w:rsidRPr="00C87A6C">
        <w:rPr>
          <w:rFonts w:ascii="Garamond" w:hAnsi="Garamond"/>
          <w:noProof/>
          <w:sz w:val="24"/>
          <w:szCs w:val="24"/>
        </w:rPr>
        <w:t>[21]</w:t>
      </w:r>
      <w:r w:rsidR="00781D2A" w:rsidRPr="00C87A6C">
        <w:rPr>
          <w:rFonts w:ascii="Garamond" w:hAnsi="Garamond"/>
          <w:sz w:val="24"/>
          <w:szCs w:val="24"/>
        </w:rPr>
        <w:fldChar w:fldCharType="end"/>
      </w:r>
      <w:r w:rsidRPr="00C87A6C">
        <w:rPr>
          <w:rFonts w:ascii="Garamond" w:hAnsi="Garamond"/>
          <w:sz w:val="24"/>
          <w:szCs w:val="24"/>
        </w:rPr>
        <w:t xml:space="preserve"> applied GAN-based approaches for cross-subject transfer learning in HAR systems, while </w:t>
      </w:r>
      <w:r w:rsidR="00781D2A" w:rsidRPr="00C87A6C">
        <w:rPr>
          <w:rFonts w:ascii="Garamond" w:hAnsi="Garamond"/>
          <w:sz w:val="24"/>
          <w:szCs w:val="24"/>
        </w:rPr>
        <w:fldChar w:fldCharType="begin" w:fldLock="1"/>
      </w:r>
      <w:r w:rsidR="00781D2A" w:rsidRPr="00C87A6C">
        <w:rPr>
          <w:rFonts w:ascii="Garamond" w:hAnsi="Garamond"/>
          <w:sz w:val="24"/>
          <w:szCs w:val="24"/>
        </w:rPr>
        <w:instrText>ADDIN CSL_CITATION {"citationItems":[{"id":"ITEM-1","itemData":{"URL":"https://ieeexplore.ieee.org/document/9893100","accessed":{"date-parts":[["2026","4","22"]]},"id":"ITEM-1","issued":{"date-parts":[["0"]]},"title":"Fully Connected Generative Adversarial Network for Human Activity Recognition | IEEE Journals &amp; Magazine | IEEE Xplore","type":"webpage"},"uris":["http://www.mendeley.com/documents/?uuid=eaf64452-1b8a-351c-bd89-bc66d2081a90"]}],"mendeley":{"formattedCitation":"[22]","plainTextFormattedCitation":"[22]","previouslyFormattedCitation":"[22]"},"properties":{"noteIndex":0},"schema":"https://github.com/citation-style-language/schema/raw/master/csl-citation.json"}</w:instrText>
      </w:r>
      <w:r w:rsidR="00781D2A" w:rsidRPr="00C87A6C">
        <w:rPr>
          <w:rFonts w:ascii="Garamond" w:hAnsi="Garamond"/>
          <w:sz w:val="24"/>
          <w:szCs w:val="24"/>
        </w:rPr>
        <w:fldChar w:fldCharType="separate"/>
      </w:r>
      <w:r w:rsidR="00781D2A" w:rsidRPr="00C87A6C">
        <w:rPr>
          <w:rFonts w:ascii="Garamond" w:hAnsi="Garamond"/>
          <w:noProof/>
          <w:sz w:val="24"/>
          <w:szCs w:val="24"/>
        </w:rPr>
        <w:t>[22]</w:t>
      </w:r>
      <w:r w:rsidR="00781D2A" w:rsidRPr="00C87A6C">
        <w:rPr>
          <w:rFonts w:ascii="Garamond" w:hAnsi="Garamond"/>
          <w:sz w:val="24"/>
          <w:szCs w:val="24"/>
        </w:rPr>
        <w:fldChar w:fldCharType="end"/>
      </w:r>
      <w:r w:rsidRPr="00C87A6C">
        <w:rPr>
          <w:rFonts w:ascii="Garamond" w:hAnsi="Garamond"/>
          <w:sz w:val="24"/>
          <w:szCs w:val="24"/>
        </w:rPr>
        <w:t xml:space="preserve"> utilized fully connected GANs to generate synthetic data that better represent real-world activity patterns. Furthermore, </w:t>
      </w:r>
      <w:r w:rsidR="00781D2A" w:rsidRPr="00C87A6C">
        <w:rPr>
          <w:rFonts w:ascii="Garamond" w:hAnsi="Garamond"/>
          <w:sz w:val="24"/>
          <w:szCs w:val="24"/>
        </w:rPr>
        <w:fldChar w:fldCharType="begin" w:fldLock="1"/>
      </w:r>
      <w:r w:rsidR="00781D2A" w:rsidRPr="00C87A6C">
        <w:rPr>
          <w:rFonts w:ascii="Garamond" w:hAnsi="Garamond"/>
          <w:sz w:val="24"/>
          <w:szCs w:val="24"/>
        </w:rPr>
        <w:instrText>ADDIN CSL_CITATION {"citationItems":[{"id":"ITEM-1","itemData":{"DOI":"10.1109/JSEN.2022.3164152","ISSN":"15581748","abstract":"In recent years, deep convolutional neural networks (DCNNs) have demonstrated the prominent performance in the radar-based human activity recognition. However, collecting and labeling the radar data are usually expensive and time-consuming. It is very challenging to obtain sufficient training data in practice. The DCNNs often suffer from the overfitting problem due to the lack of data and cannot effectively exert their performance. A large number of synthetic micro-Doppler spectrograms similar to the real micro-Doppler spectrograms can be produced by generation adversarial networks (GANs) to increase the training dataset. As a fact of matter, the quality and diversity of synthetic spectrograms are particularly important for the training process of DCNNs. In this paper, we propose a more stable and effective Wasserstein refined generative adversarial network with gradient penalty (WRGAN-GP) to generate the spectrograms for expanding the training dataset. The DCNN is trained to recognize human activities through the new training data composed of real spectrograms and the augmented synthetic spectrograms. The experimental results show that compared with existing GANs-based spectrogram augmentation methods, the proposed WRGAN-GP method provides higher stability and accuracy in generating the augmented spectrograms. Accordingly, the classification accuracy of human activities can also be greatly increased.","author":[{"dropping-particle":"","family":"Qu","given":"Lele","non-dropping-particle":"","parse-names":false,"suffix":""},{"dropping-particle":"","family":"Wang","given":"Yutong","non-dropping-particle":"","parse-names":false,"suffix":""},{"dropping-particle":"","family":"Yang","given":"Tianhong","non-dropping-particle":"","parse-names":false,"suffix":""},{"dropping-particle":"","family":"Sun","given":"Yanpeng","non-dropping-particle":"","parse-names":false,"suffix":""}],"container-title":"IEEE Sensors Journal","id":"ITEM-1","issue":"9","issued":{"date-parts":[["2022","5","1"]]},"page":"8960-8973","publisher":"Institute of Electrical and Electronics Engineers Inc.","title":"Human Activity Recognition Based on WRGAN-GP-Synthesized Micro-Doppler Spectrograms","type":"article-journal","volume":"22"},"uris":["http://www.mendeley.com/documents/?uuid=7dee4e66-ace7-30fc-808e-427156f8bd11"]}],"mendeley":{"formattedCitation":"[23]","plainTextFormattedCitation":"[23]","previouslyFormattedCitation":"[23]"},"properties":{"noteIndex":0},"schema":"https://github.com/citation-style-language/schema/raw/master/csl-citation.json"}</w:instrText>
      </w:r>
      <w:r w:rsidR="00781D2A" w:rsidRPr="00C87A6C">
        <w:rPr>
          <w:rFonts w:ascii="Garamond" w:hAnsi="Garamond"/>
          <w:sz w:val="24"/>
          <w:szCs w:val="24"/>
        </w:rPr>
        <w:fldChar w:fldCharType="separate"/>
      </w:r>
      <w:r w:rsidR="00781D2A" w:rsidRPr="00C87A6C">
        <w:rPr>
          <w:rFonts w:ascii="Garamond" w:hAnsi="Garamond"/>
          <w:noProof/>
          <w:sz w:val="24"/>
          <w:szCs w:val="24"/>
        </w:rPr>
        <w:t>[23]</w:t>
      </w:r>
      <w:r w:rsidR="00781D2A" w:rsidRPr="00C87A6C">
        <w:rPr>
          <w:rFonts w:ascii="Garamond" w:hAnsi="Garamond"/>
          <w:sz w:val="24"/>
          <w:szCs w:val="24"/>
        </w:rPr>
        <w:fldChar w:fldCharType="end"/>
      </w:r>
      <w:r w:rsidRPr="00C87A6C">
        <w:rPr>
          <w:rFonts w:ascii="Garamond" w:hAnsi="Garamond"/>
          <w:sz w:val="24"/>
          <w:szCs w:val="24"/>
        </w:rPr>
        <w:t xml:space="preserve"> evaluated the impact of GAN-generated micro-Doppler spectrograms on classification accuracy. </w:t>
      </w:r>
      <w:r w:rsidR="00781D2A" w:rsidRPr="00C87A6C">
        <w:rPr>
          <w:rFonts w:ascii="Garamond" w:hAnsi="Garamond"/>
          <w:sz w:val="24"/>
          <w:szCs w:val="24"/>
        </w:rPr>
        <w:fldChar w:fldCharType="begin" w:fldLock="1"/>
      </w:r>
      <w:r w:rsidR="00781D2A" w:rsidRPr="00C87A6C">
        <w:rPr>
          <w:rFonts w:ascii="Garamond" w:hAnsi="Garamond"/>
          <w:sz w:val="24"/>
          <w:szCs w:val="24"/>
        </w:rPr>
        <w:instrText>ADDIN CSL_CITATION {"citationItems":[{"id":"ITEM-1","itemData":{"DOI":"10.1109/IJCNN.2018.8489106","ISBN":"9781509060146","abstract":"This study focuses on improving the performance of human activity recognition when a small number of sensor data are available under some special practical scenarios and resource-limited environments, such as some high-risk projects, anomaly monitoring and actual tactical scenarios. The Human Activity Recognition (HAR) based on wearable sensors is an attractive research topic in machine learning and ubiquitous computing over the last few decades, and has extremely practicality in health surveillance, medical assistance, personalized services, etc. However, with the limitation of sensor sampling rate, sustainability, deployment, and other restricted conditions, it is difficult to collect enough and resultful sensor data anywhere, anytime. Therefore, the HAR based on wearable sensors always faces the challenges of the low-data regime under some practical scenarios, which leads to a low accuracy of activity recognition and needs to be solved urgently. Currently, the Generative Adversarial Networks (GANs) provide a powerful method for training resultful generative models that could generate very convincing verisimilar images. The framework of GANs and its variants shed many lights on improving the performance of HAR. In this paper, we propose a new generative adversarial networks framework called SensoryGANs that can effectively generate available sensor data used for HAR. To the best of our knowledge, SensoryGANs is the first unbroken generative adversarial networks applied in generating sensor data in the HAR research field. Firstly, we tried exploring and devising three activity-special GANs models for three human daily activities. Secondly, these specific models are trained with the guidance of unbroken vanilla GANs. Thirdly, the trained generators from adversarial optimization process are used to generate synthetic sensor data. Finally, the synthetic sensor data from SensoryGANs are used to enrich the original authentic sensor datasets, which can improve the performance of target activity recognition model. Meanwhile, we propose three visual evaluation methods for assessing synthetic sensor data produced by the trained generators in SensoryGANs models. Experimental results show that SensoryGANs models have the capability of capturing the implicit distribution of real sensor data of human activity, and then the synthetic sensor data generated by SensoryGANs models Have a potential for improving human activity recognition.","author":[{"dropping-particle":"","family":"Wang","given":"Jiwei","non-dropping-particle":"","parse-names":false,"suffix":""},{"dropping-particle":"","family":"Chen","given":"Yiqiang","non-dropping-particle":"","parse-names":false,"suffix":""},{"dropping-particle":"","family":"Gu","given":"Yang","non-dropping-particle":"","parse-names":false,"suffix":""},{"dropping-particle":"","family":"Xiao","given":"Yunlong","non-dropping-particle":"","parse-names":false,"suffix":""},{"dropping-particle":"","family":"Pan","given":"Haonan","non-dropping-particle":"","parse-names":false,"suffix":""}],"container-title":"Proceedings of the International Joint Conference on Neural Networks","id":"ITEM-1","issued":{"date-parts":[["2018","10","10"]]},"publisher":"Institute of Electrical and Electronics Engineers Inc.","title":"SensoryGANs: An Effective Generative Adversarial Framework for Sensor-based Human Activity Recognition","type":"article-journal","volume":"2018-July"},"uris":["http://www.mendeley.com/documents/?uuid=c48c37e7-8401-3182-a521-3359765cad58"]}],"mendeley":{"formattedCitation":"[24]","plainTextFormattedCitation":"[24]","previouslyFormattedCitation":"[24]"},"properties":{"noteIndex":0},"schema":"https://github.com/citation-style-language/schema/raw/master/csl-citation.json"}</w:instrText>
      </w:r>
      <w:r w:rsidR="00781D2A" w:rsidRPr="00C87A6C">
        <w:rPr>
          <w:rFonts w:ascii="Garamond" w:hAnsi="Garamond"/>
          <w:sz w:val="24"/>
          <w:szCs w:val="24"/>
        </w:rPr>
        <w:fldChar w:fldCharType="separate"/>
      </w:r>
      <w:r w:rsidR="00781D2A" w:rsidRPr="00C87A6C">
        <w:rPr>
          <w:rFonts w:ascii="Garamond" w:hAnsi="Garamond"/>
          <w:noProof/>
          <w:sz w:val="24"/>
          <w:szCs w:val="24"/>
        </w:rPr>
        <w:t>[24]</w:t>
      </w:r>
      <w:r w:rsidR="00781D2A" w:rsidRPr="00C87A6C">
        <w:rPr>
          <w:rFonts w:ascii="Garamond" w:hAnsi="Garamond"/>
          <w:sz w:val="24"/>
          <w:szCs w:val="24"/>
        </w:rPr>
        <w:fldChar w:fldCharType="end"/>
      </w:r>
      <w:r w:rsidRPr="00C87A6C">
        <w:rPr>
          <w:rFonts w:ascii="Garamond" w:hAnsi="Garamond"/>
          <w:sz w:val="24"/>
          <w:szCs w:val="24"/>
        </w:rPr>
        <w:t xml:space="preserve"> proposed a generative adversarial framework for sensor-based data generation to improve recognition performance</w:t>
      </w:r>
      <w:r w:rsidR="00CC5840" w:rsidRPr="00C87A6C">
        <w:rPr>
          <w:rFonts w:ascii="Garamond" w:hAnsi="Garamond"/>
          <w:sz w:val="24"/>
          <w:szCs w:val="24"/>
        </w:rPr>
        <w:t>,</w:t>
      </w:r>
      <w:r w:rsidRPr="00C87A6C">
        <w:rPr>
          <w:rFonts w:ascii="Garamond" w:hAnsi="Garamond"/>
          <w:sz w:val="24"/>
          <w:szCs w:val="24"/>
        </w:rPr>
        <w:t xml:space="preserve"> and </w:t>
      </w:r>
      <w:r w:rsidR="00781D2A" w:rsidRPr="00C87A6C">
        <w:rPr>
          <w:rFonts w:ascii="Garamond" w:hAnsi="Garamond"/>
          <w:sz w:val="24"/>
          <w:szCs w:val="24"/>
        </w:rPr>
        <w:fldChar w:fldCharType="begin" w:fldLock="1"/>
      </w:r>
      <w:r w:rsidR="00781D2A" w:rsidRPr="00C87A6C">
        <w:rPr>
          <w:rFonts w:ascii="Garamond" w:hAnsi="Garamond"/>
          <w:sz w:val="24"/>
          <w:szCs w:val="24"/>
        </w:rPr>
        <w:instrText>ADDIN CSL_CITATION {"citationItems":[{"id":"ITEM-1","itemData":{"author":[{"dropping-particle":"","family":"Harshala Gammulle, Simon Denman, Sridha Sridharan, Clinton Fookes","given":"","non-dropping-particle":"","parse-names":false,"suffix":""}],"container-title":"arXiv:1812.07124","id":"ITEM-1","issued":{"date-parts":[["2018"]]},"title":"Multi-Level Sequence GAN for Group Activity Recognition","type":"article-journal"},"uris":["http://www.mendeley.com/documents/?uuid=ce74d4d1-c25c-4041-b885-ec1ed628119c"]}],"mendeley":{"formattedCitation":"[25]","plainTextFormattedCitation":"[25]","previouslyFormattedCitation":"[25]"},"properties":{"noteIndex":0},"schema":"https://github.com/citation-style-language/schema/raw/master/csl-citation.json"}</w:instrText>
      </w:r>
      <w:r w:rsidR="00781D2A" w:rsidRPr="00C87A6C">
        <w:rPr>
          <w:rFonts w:ascii="Garamond" w:hAnsi="Garamond"/>
          <w:sz w:val="24"/>
          <w:szCs w:val="24"/>
        </w:rPr>
        <w:fldChar w:fldCharType="separate"/>
      </w:r>
      <w:r w:rsidR="00781D2A" w:rsidRPr="00C87A6C">
        <w:rPr>
          <w:rFonts w:ascii="Garamond" w:hAnsi="Garamond"/>
          <w:noProof/>
          <w:sz w:val="24"/>
          <w:szCs w:val="24"/>
        </w:rPr>
        <w:t>[25]</w:t>
      </w:r>
      <w:r w:rsidR="00781D2A" w:rsidRPr="00C87A6C">
        <w:rPr>
          <w:rFonts w:ascii="Garamond" w:hAnsi="Garamond"/>
          <w:sz w:val="24"/>
          <w:szCs w:val="24"/>
        </w:rPr>
        <w:fldChar w:fldCharType="end"/>
      </w:r>
      <w:r w:rsidRPr="00C87A6C">
        <w:rPr>
          <w:rFonts w:ascii="Garamond" w:hAnsi="Garamond"/>
          <w:sz w:val="24"/>
          <w:szCs w:val="24"/>
        </w:rPr>
        <w:t xml:space="preserve"> proposed a multi-level sequence GAN framework for group activity recognition by learning hierarchical intermediate representations.</w:t>
      </w:r>
    </w:p>
    <w:p w14:paraId="44739D88" w14:textId="01020498" w:rsidR="00015737" w:rsidRPr="00C87A6C" w:rsidRDefault="00015737" w:rsidP="00015737">
      <w:pPr>
        <w:spacing w:after="0" w:line="240" w:lineRule="auto"/>
        <w:ind w:left="720" w:hanging="720"/>
        <w:jc w:val="both"/>
        <w:rPr>
          <w:rFonts w:ascii="Garamond" w:hAnsi="Garamond"/>
          <w:b/>
          <w:sz w:val="24"/>
          <w:szCs w:val="24"/>
        </w:rPr>
      </w:pPr>
      <w:r w:rsidRPr="00C87A6C">
        <w:rPr>
          <w:rFonts w:ascii="Garamond" w:hAnsi="Garamond"/>
          <w:b/>
          <w:sz w:val="24"/>
          <w:szCs w:val="24"/>
        </w:rPr>
        <w:t>Materials and Methods</w:t>
      </w:r>
      <w:r w:rsidR="002333B0" w:rsidRPr="00C87A6C">
        <w:rPr>
          <w:rFonts w:ascii="Garamond" w:hAnsi="Garamond"/>
          <w:b/>
          <w:sz w:val="24"/>
          <w:szCs w:val="24"/>
        </w:rPr>
        <w:t>:</w:t>
      </w:r>
    </w:p>
    <w:p w14:paraId="226F3A5B" w14:textId="4576EC4C" w:rsidR="00015737" w:rsidRPr="00C87A6C" w:rsidRDefault="00015737" w:rsidP="00CC5840">
      <w:pPr>
        <w:spacing w:after="0" w:line="240" w:lineRule="auto"/>
        <w:jc w:val="both"/>
        <w:rPr>
          <w:rFonts w:ascii="Garamond" w:hAnsi="Garamond"/>
          <w:b/>
          <w:bCs/>
          <w:sz w:val="24"/>
          <w:szCs w:val="24"/>
        </w:rPr>
      </w:pPr>
      <w:r w:rsidRPr="00C87A6C">
        <w:rPr>
          <w:rFonts w:ascii="Garamond" w:hAnsi="Garamond"/>
          <w:b/>
          <w:bCs/>
          <w:sz w:val="24"/>
          <w:szCs w:val="24"/>
        </w:rPr>
        <w:t>Dataset Description</w:t>
      </w:r>
      <w:r w:rsidR="002333B0" w:rsidRPr="00C87A6C">
        <w:rPr>
          <w:rFonts w:ascii="Garamond" w:hAnsi="Garamond"/>
          <w:b/>
          <w:bCs/>
          <w:sz w:val="24"/>
          <w:szCs w:val="24"/>
        </w:rPr>
        <w:t>:</w:t>
      </w:r>
    </w:p>
    <w:p w14:paraId="201E87A2" w14:textId="7C52772B" w:rsidR="00015737" w:rsidRPr="00C87A6C" w:rsidRDefault="00015737" w:rsidP="00675E55">
      <w:pPr>
        <w:spacing w:after="0" w:line="240" w:lineRule="auto"/>
        <w:ind w:firstLine="720"/>
        <w:jc w:val="both"/>
        <w:rPr>
          <w:rFonts w:ascii="Garamond" w:hAnsi="Garamond"/>
          <w:sz w:val="24"/>
          <w:szCs w:val="24"/>
        </w:rPr>
      </w:pPr>
      <w:r w:rsidRPr="00C87A6C">
        <w:rPr>
          <w:rFonts w:ascii="Garamond" w:hAnsi="Garamond"/>
          <w:sz w:val="24"/>
          <w:szCs w:val="24"/>
        </w:rPr>
        <w:t xml:space="preserve">The experimental framework of this study is based on a computational environment designed to reconstruct occluded 3D human skeleton sequences for Human Activity Recognition (HAR). The experiments utilize the publicly available </w:t>
      </w:r>
      <w:r w:rsidRPr="001572A1">
        <w:rPr>
          <w:rFonts w:ascii="Garamond" w:hAnsi="Garamond"/>
          <w:sz w:val="24"/>
          <w:szCs w:val="24"/>
        </w:rPr>
        <w:t>UTKinect-Action3D dataset</w:t>
      </w:r>
      <w:r w:rsidRPr="00C87A6C">
        <w:rPr>
          <w:rFonts w:ascii="Garamond" w:hAnsi="Garamond"/>
          <w:sz w:val="24"/>
          <w:szCs w:val="24"/>
        </w:rPr>
        <w:t xml:space="preserve">, which is widely adopted in skeleton-based HAR research due to its reliability and structured motion data. The dataset contains 3D skeletal joint coordinates captured using Microsoft Kinect sensors under varying viewpoints and activity scenarios. Each sequence represents human motion through temporally ordered joint positions, providing a robust basis for evaluating reconstruction performance. The dataset is publicly accessible </w:t>
      </w:r>
      <w:r w:rsidR="00781D2A" w:rsidRPr="00C87A6C">
        <w:rPr>
          <w:rFonts w:ascii="Garamond" w:hAnsi="Garamond"/>
          <w:sz w:val="24"/>
          <w:szCs w:val="24"/>
        </w:rPr>
        <w:fldChar w:fldCharType="begin" w:fldLock="1"/>
      </w:r>
      <w:r w:rsidR="00781D2A" w:rsidRPr="00C87A6C">
        <w:rPr>
          <w:rFonts w:ascii="Garamond" w:hAnsi="Garamond"/>
          <w:sz w:val="24"/>
          <w:szCs w:val="24"/>
        </w:rPr>
        <w:instrText>ADDIN CSL_CITATION {"citationItems":[{"id":"ITEM-1","itemData":{"URL":"https://www.kaggle.com/datasets","accessed":{"date-parts":[["2026","3","31"]]},"id":"ITEM-1","issued":{"date-parts":[["0"]]},"title":"Find Open Datasets and Machine Learning Projects | Kaggle","type":"webpage"},"uris":["http://www.mendeley.com/documents/?uuid=9152dd63-a760-3a7c-98ec-b6af83e55b73"]}],"mendeley":{"formattedCitation":"[26]","plainTextFormattedCitation":"[26]","previouslyFormattedCitation":"[26]"},"properties":{"noteIndex":0},"schema":"https://github.com/citation-style-language/schema/raw/master/csl-citation.json"}</w:instrText>
      </w:r>
      <w:r w:rsidR="00781D2A" w:rsidRPr="00C87A6C">
        <w:rPr>
          <w:rFonts w:ascii="Garamond" w:hAnsi="Garamond"/>
          <w:sz w:val="24"/>
          <w:szCs w:val="24"/>
        </w:rPr>
        <w:fldChar w:fldCharType="separate"/>
      </w:r>
      <w:r w:rsidR="00781D2A" w:rsidRPr="00C87A6C">
        <w:rPr>
          <w:rFonts w:ascii="Garamond" w:hAnsi="Garamond"/>
          <w:noProof/>
          <w:sz w:val="24"/>
          <w:szCs w:val="24"/>
        </w:rPr>
        <w:t>[26]</w:t>
      </w:r>
      <w:r w:rsidR="00781D2A" w:rsidRPr="00C87A6C">
        <w:rPr>
          <w:rFonts w:ascii="Garamond" w:hAnsi="Garamond"/>
          <w:sz w:val="24"/>
          <w:szCs w:val="24"/>
        </w:rPr>
        <w:fldChar w:fldCharType="end"/>
      </w:r>
      <w:r w:rsidRPr="00C87A6C">
        <w:rPr>
          <w:rFonts w:ascii="Garamond" w:hAnsi="Garamond"/>
          <w:sz w:val="24"/>
          <w:szCs w:val="24"/>
        </w:rPr>
        <w:t>. To simulate real-world challenges, artificial occlusion scenarios</w:t>
      </w:r>
      <w:r w:rsidR="00CC5840" w:rsidRPr="00C87A6C">
        <w:rPr>
          <w:rFonts w:ascii="Garamond" w:hAnsi="Garamond"/>
          <w:sz w:val="24"/>
          <w:szCs w:val="24"/>
        </w:rPr>
        <w:t>,</w:t>
      </w:r>
      <w:r w:rsidRPr="00C87A6C">
        <w:rPr>
          <w:rFonts w:ascii="Garamond" w:hAnsi="Garamond"/>
          <w:sz w:val="24"/>
          <w:szCs w:val="24"/>
        </w:rPr>
        <w:t xml:space="preserve"> as shown in </w:t>
      </w:r>
      <w:r w:rsidRPr="001572A1">
        <w:rPr>
          <w:rFonts w:ascii="Garamond" w:hAnsi="Garamond"/>
          <w:sz w:val="24"/>
          <w:szCs w:val="24"/>
        </w:rPr>
        <w:t>Fig</w:t>
      </w:r>
      <w:r w:rsidR="001572A1" w:rsidRPr="001572A1">
        <w:rPr>
          <w:rFonts w:ascii="Garamond" w:hAnsi="Garamond"/>
          <w:sz w:val="24"/>
          <w:szCs w:val="24"/>
        </w:rPr>
        <w:t>ure</w:t>
      </w:r>
      <w:r w:rsidRPr="001572A1">
        <w:rPr>
          <w:rFonts w:ascii="Garamond" w:hAnsi="Garamond"/>
          <w:sz w:val="24"/>
          <w:szCs w:val="24"/>
        </w:rPr>
        <w:t>. 1</w:t>
      </w:r>
      <w:r w:rsidR="00CC5840" w:rsidRPr="00C87A6C">
        <w:rPr>
          <w:rFonts w:ascii="Garamond" w:hAnsi="Garamond"/>
          <w:sz w:val="24"/>
          <w:szCs w:val="24"/>
        </w:rPr>
        <w:t>,</w:t>
      </w:r>
      <w:r w:rsidRPr="00C87A6C">
        <w:rPr>
          <w:rFonts w:ascii="Garamond" w:hAnsi="Garamond"/>
          <w:sz w:val="24"/>
          <w:szCs w:val="24"/>
        </w:rPr>
        <w:t xml:space="preserve"> are generated within the dataset. These include conditions such as self-occlusion, viewpoint-based partial visibility, and environmental obstruction. Specifically, eight occlusion cases are considered: left arm, right arm, left leg, right leg, left arm–left leg, right arm–right leg, both arms, and both legs. This controlled setup ensures reproducibility and enables systematic evaluation under varying occlusion severity levels.</w:t>
      </w:r>
    </w:p>
    <w:p w14:paraId="4E460BC5" w14:textId="77777777" w:rsidR="00015737" w:rsidRPr="00C87A6C" w:rsidRDefault="00015737" w:rsidP="002333B0">
      <w:pPr>
        <w:spacing w:line="240" w:lineRule="auto"/>
        <w:jc w:val="center"/>
        <w:rPr>
          <w:rFonts w:ascii="Garamond" w:hAnsi="Garamond"/>
          <w:sz w:val="24"/>
          <w:szCs w:val="24"/>
        </w:rPr>
      </w:pPr>
      <w:r w:rsidRPr="00C87A6C">
        <w:rPr>
          <w:rFonts w:ascii="Garamond" w:hAnsi="Garamond"/>
          <w:noProof/>
          <w:sz w:val="24"/>
          <w:szCs w:val="24"/>
        </w:rPr>
        <w:drawing>
          <wp:inline distT="0" distB="0" distL="0" distR="0" wp14:anchorId="437A2097" wp14:editId="20AFEC2F">
            <wp:extent cx="5164531" cy="2172199"/>
            <wp:effectExtent l="0" t="0" r="0" b="0"/>
            <wp:docPr id="106088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1" t="11498" r="11906" b="3253"/>
                    <a:stretch>
                      <a:fillRect/>
                    </a:stretch>
                  </pic:blipFill>
                  <pic:spPr bwMode="auto">
                    <a:xfrm>
                      <a:off x="0" y="0"/>
                      <a:ext cx="5287188" cy="2223788"/>
                    </a:xfrm>
                    <a:prstGeom prst="rect">
                      <a:avLst/>
                    </a:prstGeom>
                    <a:noFill/>
                    <a:ln>
                      <a:noFill/>
                    </a:ln>
                    <a:extLst>
                      <a:ext uri="{53640926-AAD7-44D8-BBD7-CCE9431645EC}">
                        <a14:shadowObscured xmlns:a14="http://schemas.microsoft.com/office/drawing/2010/main"/>
                      </a:ext>
                    </a:extLst>
                  </pic:spPr>
                </pic:pic>
              </a:graphicData>
            </a:graphic>
          </wp:inline>
        </w:drawing>
      </w:r>
    </w:p>
    <w:p w14:paraId="703E6E10" w14:textId="1804898A" w:rsidR="00015737" w:rsidRPr="00C87A6C" w:rsidRDefault="00015737" w:rsidP="002333B0">
      <w:pPr>
        <w:spacing w:after="0" w:line="240" w:lineRule="auto"/>
        <w:jc w:val="center"/>
        <w:rPr>
          <w:rFonts w:ascii="Garamond" w:hAnsi="Garamond"/>
          <w:sz w:val="24"/>
          <w:szCs w:val="24"/>
        </w:rPr>
      </w:pPr>
      <w:r w:rsidRPr="00C87A6C">
        <w:rPr>
          <w:rFonts w:ascii="Garamond" w:hAnsi="Garamond"/>
          <w:b/>
          <w:sz w:val="24"/>
          <w:szCs w:val="24"/>
        </w:rPr>
        <w:t xml:space="preserve">Figure 1. </w:t>
      </w:r>
      <w:r w:rsidRPr="00C87A6C">
        <w:rPr>
          <w:rFonts w:ascii="Garamond" w:hAnsi="Garamond"/>
          <w:sz w:val="24"/>
          <w:szCs w:val="24"/>
        </w:rPr>
        <w:t>Occlusion Cases</w:t>
      </w:r>
    </w:p>
    <w:p w14:paraId="2611526D" w14:textId="570898B6" w:rsidR="00015737" w:rsidRPr="00C87A6C" w:rsidRDefault="00015737" w:rsidP="00CC5840">
      <w:pPr>
        <w:spacing w:after="0" w:line="240" w:lineRule="auto"/>
        <w:jc w:val="both"/>
        <w:rPr>
          <w:rFonts w:ascii="Garamond" w:hAnsi="Garamond"/>
          <w:b/>
          <w:bCs/>
          <w:sz w:val="24"/>
          <w:szCs w:val="24"/>
        </w:rPr>
      </w:pPr>
      <w:r w:rsidRPr="00C87A6C">
        <w:rPr>
          <w:rFonts w:ascii="Garamond" w:hAnsi="Garamond"/>
          <w:b/>
          <w:bCs/>
          <w:sz w:val="24"/>
          <w:szCs w:val="24"/>
        </w:rPr>
        <w:t>Data Representation and Preprocessing</w:t>
      </w:r>
      <w:r w:rsidR="002333B0" w:rsidRPr="00C87A6C">
        <w:rPr>
          <w:rFonts w:ascii="Garamond" w:hAnsi="Garamond"/>
          <w:b/>
          <w:bCs/>
          <w:sz w:val="24"/>
          <w:szCs w:val="24"/>
        </w:rPr>
        <w:t>:</w:t>
      </w:r>
    </w:p>
    <w:p w14:paraId="0193E7C2" w14:textId="77777777" w:rsidR="00015737" w:rsidRPr="00C87A6C" w:rsidRDefault="00015737" w:rsidP="00CC5840">
      <w:pPr>
        <w:spacing w:after="0" w:line="240" w:lineRule="auto"/>
        <w:ind w:firstLine="720"/>
        <w:jc w:val="both"/>
        <w:rPr>
          <w:rFonts w:ascii="Garamond" w:hAnsi="Garamond"/>
          <w:sz w:val="24"/>
          <w:szCs w:val="24"/>
        </w:rPr>
      </w:pPr>
      <w:r w:rsidRPr="00C87A6C">
        <w:rPr>
          <w:rFonts w:ascii="Garamond" w:hAnsi="Garamond"/>
          <w:sz w:val="24"/>
          <w:szCs w:val="24"/>
        </w:rPr>
        <w:t xml:space="preserve">Each skeleton sequence is represented as a temporal sequence of </w:t>
      </w:r>
      <w:r w:rsidRPr="00C87A6C">
        <w:rPr>
          <w:rFonts w:ascii="Garamond" w:hAnsi="Garamond"/>
          <w:b/>
          <w:bCs/>
          <w:sz w:val="24"/>
          <w:szCs w:val="24"/>
        </w:rPr>
        <w:t>T = 30 frames</w:t>
      </w:r>
      <w:r w:rsidRPr="00C87A6C">
        <w:rPr>
          <w:rFonts w:ascii="Garamond" w:hAnsi="Garamond"/>
          <w:sz w:val="24"/>
          <w:szCs w:val="24"/>
        </w:rPr>
        <w:t xml:space="preserve">, where each frame consists of </w:t>
      </w:r>
      <w:r w:rsidRPr="001572A1">
        <w:rPr>
          <w:rFonts w:ascii="Garamond" w:hAnsi="Garamond"/>
          <w:sz w:val="24"/>
          <w:szCs w:val="24"/>
        </w:rPr>
        <w:t>20 joints with 3D coordinates (x, y, z).</w:t>
      </w:r>
      <w:r w:rsidRPr="00C87A6C">
        <w:rPr>
          <w:rFonts w:ascii="Garamond" w:hAnsi="Garamond"/>
          <w:sz w:val="24"/>
          <w:szCs w:val="24"/>
        </w:rPr>
        <w:t xml:space="preserve"> Since raw sequences vary in length, all samples are standardized using </w:t>
      </w:r>
      <w:r w:rsidRPr="001572A1">
        <w:rPr>
          <w:rFonts w:ascii="Garamond" w:hAnsi="Garamond"/>
          <w:sz w:val="24"/>
          <w:szCs w:val="24"/>
        </w:rPr>
        <w:t>linear interpolation</w:t>
      </w:r>
      <w:r w:rsidRPr="00C87A6C">
        <w:rPr>
          <w:rFonts w:ascii="Garamond" w:hAnsi="Garamond"/>
          <w:sz w:val="24"/>
          <w:szCs w:val="24"/>
        </w:rPr>
        <w:t xml:space="preserve"> to ensure a fixed temporal dimension. For the CRNN-based model, </w:t>
      </w:r>
      <w:r w:rsidRPr="001572A1">
        <w:rPr>
          <w:rFonts w:ascii="Garamond" w:hAnsi="Garamond"/>
          <w:sz w:val="24"/>
          <w:szCs w:val="24"/>
        </w:rPr>
        <w:t>Min-Max normalization</w:t>
      </w:r>
      <w:r w:rsidRPr="00C87A6C">
        <w:rPr>
          <w:rFonts w:ascii="Garamond" w:hAnsi="Garamond"/>
          <w:sz w:val="24"/>
          <w:szCs w:val="24"/>
        </w:rPr>
        <w:t xml:space="preserve"> is applied to scale joint coordinates within the range </w:t>
      </w:r>
      <w:r w:rsidRPr="001572A1">
        <w:rPr>
          <w:rFonts w:ascii="Garamond" w:hAnsi="Garamond"/>
          <w:sz w:val="24"/>
          <w:szCs w:val="24"/>
        </w:rPr>
        <w:t>[-1, 1],</w:t>
      </w:r>
      <w:r w:rsidRPr="00C87A6C">
        <w:rPr>
          <w:rFonts w:ascii="Garamond" w:hAnsi="Garamond"/>
          <w:sz w:val="24"/>
          <w:szCs w:val="24"/>
        </w:rPr>
        <w:t xml:space="preserve"> which improves convergence and stabilizes training. The dataset is divided into </w:t>
      </w:r>
      <w:r w:rsidRPr="001572A1">
        <w:rPr>
          <w:rFonts w:ascii="Garamond" w:hAnsi="Garamond"/>
          <w:sz w:val="24"/>
          <w:szCs w:val="24"/>
        </w:rPr>
        <w:t>training (80%), validation (10%), and testing (10%)</w:t>
      </w:r>
      <w:r w:rsidRPr="00C87A6C">
        <w:rPr>
          <w:rFonts w:ascii="Garamond" w:hAnsi="Garamond"/>
          <w:sz w:val="24"/>
          <w:szCs w:val="24"/>
        </w:rPr>
        <w:t xml:space="preserve"> subsets to ensure unbiased performance evaluation.</w:t>
      </w:r>
    </w:p>
    <w:p w14:paraId="222EADE2" w14:textId="07136414" w:rsidR="00015737" w:rsidRPr="00C87A6C" w:rsidRDefault="00015737" w:rsidP="00015737">
      <w:pPr>
        <w:spacing w:after="0" w:line="240" w:lineRule="auto"/>
        <w:jc w:val="both"/>
        <w:rPr>
          <w:rFonts w:ascii="Garamond" w:hAnsi="Garamond"/>
          <w:b/>
          <w:bCs/>
          <w:sz w:val="24"/>
          <w:szCs w:val="24"/>
        </w:rPr>
      </w:pPr>
      <w:r w:rsidRPr="00C87A6C">
        <w:rPr>
          <w:rFonts w:ascii="Garamond" w:hAnsi="Garamond"/>
          <w:b/>
          <w:bCs/>
          <w:sz w:val="24"/>
          <w:szCs w:val="24"/>
        </w:rPr>
        <w:t>Proposed Framework</w:t>
      </w:r>
      <w:r w:rsidR="002333B0" w:rsidRPr="00C87A6C">
        <w:rPr>
          <w:rFonts w:ascii="Garamond" w:hAnsi="Garamond"/>
          <w:b/>
          <w:bCs/>
          <w:sz w:val="24"/>
          <w:szCs w:val="24"/>
        </w:rPr>
        <w:t>:</w:t>
      </w:r>
    </w:p>
    <w:p w14:paraId="73D1779D" w14:textId="77777777"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The proposed framework is based on a Generative Adversarial Network (GAN) for reconstructing occluded 3D human skeleton sequences as illustrated in Fig. 2. The reconstruction task is formulated as a regression problem, where the objective is to recover complete skeleton sequences from partially occluded inputs.</w:t>
      </w:r>
    </w:p>
    <w:p w14:paraId="45E6B670" w14:textId="77777777" w:rsidR="00015737" w:rsidRPr="00C87A6C" w:rsidRDefault="00015737" w:rsidP="00015737">
      <w:pPr>
        <w:spacing w:after="0" w:line="240" w:lineRule="auto"/>
        <w:jc w:val="both"/>
        <w:rPr>
          <w:rFonts w:ascii="Garamond" w:hAnsi="Garamond"/>
          <w:sz w:val="24"/>
          <w:szCs w:val="24"/>
        </w:rPr>
      </w:pPr>
      <w:r w:rsidRPr="00C87A6C">
        <w:rPr>
          <w:rFonts w:ascii="Garamond" w:hAnsi="Garamond"/>
          <w:sz w:val="24"/>
          <w:szCs w:val="24"/>
        </w:rPr>
        <w:t>The generator component is implemented using two deep learning architectures:</w:t>
      </w:r>
    </w:p>
    <w:p w14:paraId="3EF1B43D" w14:textId="77777777" w:rsidR="00015737" w:rsidRPr="00C87A6C" w:rsidRDefault="00015737" w:rsidP="002333B0">
      <w:pPr>
        <w:spacing w:after="0" w:line="240" w:lineRule="auto"/>
        <w:jc w:val="both"/>
        <w:rPr>
          <w:rFonts w:ascii="Garamond" w:hAnsi="Garamond"/>
          <w:sz w:val="24"/>
          <w:szCs w:val="24"/>
        </w:rPr>
      </w:pPr>
      <w:r w:rsidRPr="00C87A6C">
        <w:rPr>
          <w:rFonts w:ascii="Garamond" w:hAnsi="Garamond"/>
          <w:sz w:val="24"/>
          <w:szCs w:val="24"/>
        </w:rPr>
        <w:t>A Convolutional Recurrent Neural Network with Bidirectional LSTM (CRNN-</w:t>
      </w:r>
      <w:proofErr w:type="spellStart"/>
      <w:r w:rsidRPr="00C87A6C">
        <w:rPr>
          <w:rFonts w:ascii="Garamond" w:hAnsi="Garamond"/>
          <w:sz w:val="24"/>
          <w:szCs w:val="24"/>
        </w:rPr>
        <w:t>BiLSTM</w:t>
      </w:r>
      <w:proofErr w:type="spellEnd"/>
      <w:r w:rsidRPr="00C87A6C">
        <w:rPr>
          <w:rFonts w:ascii="Garamond" w:hAnsi="Garamond"/>
          <w:sz w:val="24"/>
          <w:szCs w:val="24"/>
        </w:rPr>
        <w:t xml:space="preserve">), and </w:t>
      </w:r>
    </w:p>
    <w:p w14:paraId="599C61EC" w14:textId="74AF4E8B" w:rsidR="00015737" w:rsidRPr="00C87A6C" w:rsidRDefault="00015737" w:rsidP="002333B0">
      <w:pPr>
        <w:spacing w:after="0" w:line="240" w:lineRule="auto"/>
        <w:jc w:val="both"/>
        <w:rPr>
          <w:rFonts w:ascii="Garamond" w:hAnsi="Garamond"/>
          <w:sz w:val="24"/>
          <w:szCs w:val="24"/>
        </w:rPr>
      </w:pPr>
      <w:r w:rsidRPr="00C87A6C">
        <w:rPr>
          <w:rFonts w:ascii="Garamond" w:hAnsi="Garamond"/>
          <w:sz w:val="24"/>
          <w:szCs w:val="24"/>
        </w:rPr>
        <w:t xml:space="preserve">A Transformer-based model, which </w:t>
      </w:r>
      <w:r w:rsidR="00CC5840" w:rsidRPr="00C87A6C">
        <w:rPr>
          <w:rFonts w:ascii="Garamond" w:hAnsi="Garamond"/>
          <w:sz w:val="24"/>
          <w:szCs w:val="24"/>
        </w:rPr>
        <w:t>is</w:t>
      </w:r>
      <w:r w:rsidRPr="00C87A6C">
        <w:rPr>
          <w:rFonts w:ascii="Garamond" w:hAnsi="Garamond"/>
          <w:sz w:val="24"/>
          <w:szCs w:val="24"/>
        </w:rPr>
        <w:t xml:space="preserve"> trained and evaluated independently. </w:t>
      </w:r>
    </w:p>
    <w:p w14:paraId="55B114FB" w14:textId="77777777" w:rsidR="00015737" w:rsidRPr="00C87A6C" w:rsidRDefault="00015737" w:rsidP="005A4540">
      <w:pPr>
        <w:spacing w:after="0" w:line="240" w:lineRule="auto"/>
        <w:jc w:val="center"/>
        <w:rPr>
          <w:rFonts w:ascii="Garamond" w:hAnsi="Garamond"/>
          <w:sz w:val="24"/>
          <w:szCs w:val="24"/>
        </w:rPr>
      </w:pPr>
      <w:r w:rsidRPr="00C87A6C">
        <w:rPr>
          <w:rFonts w:ascii="Garamond" w:hAnsi="Garamond"/>
          <w:bCs/>
          <w:noProof/>
          <w:sz w:val="24"/>
          <w:szCs w:val="24"/>
        </w:rPr>
        <w:drawing>
          <wp:inline distT="0" distB="0" distL="0" distR="0" wp14:anchorId="408186A3" wp14:editId="19A8C2E8">
            <wp:extent cx="4958737" cy="2355495"/>
            <wp:effectExtent l="0" t="0" r="0" b="6985"/>
            <wp:docPr id="177495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51" t="2132" b="2380"/>
                    <a:stretch>
                      <a:fillRect/>
                    </a:stretch>
                  </pic:blipFill>
                  <pic:spPr bwMode="auto">
                    <a:xfrm>
                      <a:off x="0" y="0"/>
                      <a:ext cx="5031945" cy="2390270"/>
                    </a:xfrm>
                    <a:prstGeom prst="rect">
                      <a:avLst/>
                    </a:prstGeom>
                    <a:noFill/>
                    <a:ln>
                      <a:noFill/>
                    </a:ln>
                    <a:extLst>
                      <a:ext uri="{53640926-AAD7-44D8-BBD7-CCE9431645EC}">
                        <a14:shadowObscured xmlns:a14="http://schemas.microsoft.com/office/drawing/2010/main"/>
                      </a:ext>
                    </a:extLst>
                  </pic:spPr>
                </pic:pic>
              </a:graphicData>
            </a:graphic>
          </wp:inline>
        </w:drawing>
      </w:r>
    </w:p>
    <w:p w14:paraId="057ED567" w14:textId="180A9FA6" w:rsidR="00015737" w:rsidRPr="00C87A6C" w:rsidRDefault="00015737" w:rsidP="005A4540">
      <w:pPr>
        <w:spacing w:after="0" w:line="240" w:lineRule="auto"/>
        <w:jc w:val="center"/>
        <w:rPr>
          <w:rFonts w:ascii="Garamond" w:hAnsi="Garamond"/>
          <w:b/>
          <w:sz w:val="24"/>
          <w:szCs w:val="24"/>
        </w:rPr>
      </w:pPr>
      <w:r w:rsidRPr="00C87A6C">
        <w:rPr>
          <w:rFonts w:ascii="Garamond" w:hAnsi="Garamond"/>
          <w:b/>
          <w:sz w:val="24"/>
          <w:szCs w:val="24"/>
        </w:rPr>
        <w:t>Fig</w:t>
      </w:r>
      <w:r w:rsidR="005A4540" w:rsidRPr="00C87A6C">
        <w:rPr>
          <w:rFonts w:ascii="Garamond" w:hAnsi="Garamond"/>
          <w:b/>
          <w:sz w:val="24"/>
          <w:szCs w:val="24"/>
        </w:rPr>
        <w:t>ure</w:t>
      </w:r>
      <w:r w:rsidRPr="00C87A6C">
        <w:rPr>
          <w:rFonts w:ascii="Garamond" w:hAnsi="Garamond"/>
          <w:b/>
          <w:sz w:val="24"/>
          <w:szCs w:val="24"/>
        </w:rPr>
        <w:t xml:space="preserve"> 2. </w:t>
      </w:r>
      <w:r w:rsidRPr="00C87A6C">
        <w:rPr>
          <w:rFonts w:ascii="Garamond" w:hAnsi="Garamond"/>
          <w:bCs/>
          <w:sz w:val="24"/>
          <w:szCs w:val="24"/>
        </w:rPr>
        <w:t>Flow Diagram – Training pipeline of GAN- Based framework for Skeleton Reconstruction</w:t>
      </w:r>
    </w:p>
    <w:p w14:paraId="7EB46C18" w14:textId="61C2B79A"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 xml:space="preserve">In </w:t>
      </w:r>
      <w:r w:rsidR="00CC5840" w:rsidRPr="00C87A6C">
        <w:rPr>
          <w:rFonts w:ascii="Garamond" w:hAnsi="Garamond"/>
          <w:sz w:val="24"/>
          <w:szCs w:val="24"/>
        </w:rPr>
        <w:t xml:space="preserve">the </w:t>
      </w:r>
      <w:r w:rsidRPr="00C87A6C">
        <w:rPr>
          <w:rFonts w:ascii="Garamond" w:hAnsi="Garamond"/>
          <w:sz w:val="24"/>
          <w:szCs w:val="24"/>
        </w:rPr>
        <w:t>proposed approach</w:t>
      </w:r>
      <w:r w:rsidR="00CC5840" w:rsidRPr="00C87A6C">
        <w:rPr>
          <w:rFonts w:ascii="Garamond" w:hAnsi="Garamond"/>
          <w:sz w:val="24"/>
          <w:szCs w:val="24"/>
        </w:rPr>
        <w:t>,</w:t>
      </w:r>
      <w:r w:rsidRPr="00C87A6C">
        <w:rPr>
          <w:rFonts w:ascii="Garamond" w:hAnsi="Garamond"/>
          <w:sz w:val="24"/>
          <w:szCs w:val="24"/>
        </w:rPr>
        <w:t xml:space="preserve"> as shown in Fig. 2, after getting </w:t>
      </w:r>
      <w:r w:rsidR="00CC5840" w:rsidRPr="00C87A6C">
        <w:rPr>
          <w:rFonts w:ascii="Garamond" w:hAnsi="Garamond"/>
          <w:sz w:val="24"/>
          <w:szCs w:val="24"/>
        </w:rPr>
        <w:t xml:space="preserve">the </w:t>
      </w:r>
      <w:r w:rsidRPr="00C87A6C">
        <w:rPr>
          <w:rFonts w:ascii="Garamond" w:hAnsi="Garamond"/>
          <w:sz w:val="24"/>
          <w:szCs w:val="24"/>
        </w:rPr>
        <w:t>dataset, first</w:t>
      </w:r>
      <w:r w:rsidR="00CC5840" w:rsidRPr="00C87A6C">
        <w:rPr>
          <w:rFonts w:ascii="Garamond" w:hAnsi="Garamond"/>
          <w:sz w:val="24"/>
          <w:szCs w:val="24"/>
        </w:rPr>
        <w:t>,</w:t>
      </w:r>
      <w:r w:rsidRPr="00C87A6C">
        <w:rPr>
          <w:rFonts w:ascii="Garamond" w:hAnsi="Garamond"/>
          <w:sz w:val="24"/>
          <w:szCs w:val="24"/>
        </w:rPr>
        <w:t xml:space="preserve"> the input to both generators consists of raw 3D joint coordinates with artificially removed joints to simulate occlusion, while the output is a reconstructed skeleton sequence of fixed temporal length </w:t>
      </w:r>
      <m:oMath>
        <m:r>
          <w:rPr>
            <w:rFonts w:ascii="Cambria Math" w:hAnsi="Cambria Math"/>
            <w:sz w:val="24"/>
            <w:szCs w:val="24"/>
          </w:rPr>
          <m:t>T=30</m:t>
        </m:r>
      </m:oMath>
      <w:r w:rsidRPr="00C87A6C">
        <w:rPr>
          <w:rFonts w:ascii="Garamond" w:hAnsi="Garamond"/>
          <w:sz w:val="24"/>
          <w:szCs w:val="24"/>
        </w:rPr>
        <w:t>frames, with 20 joints and 3D coordinates. The CRNN-BiLSTM generator captures local spatial features through convolutional layers and models bidirectional temporal dependencies using a BiLSTM layer. In contrast, the Transformer-based generator utilizes self-attention mechanisms with positional encoding to model long-range spatial–temporal relationships without relying on recurrence. This enables better global context modeling, particularly under severe occlusion conditions. The discriminator is trained to distinguish reconstructed skeleton sequences from real (non-occluded) sequences, thereby improving reconstruction quality through adversarial learning. For the CRNN-based GAN, an LSTM-based discriminator is employed to capture temporal consistency, whereas for the Transformer-based GAN, a fully connected (</w:t>
      </w:r>
      <w:proofErr w:type="spellStart"/>
      <w:r w:rsidRPr="00C87A6C">
        <w:rPr>
          <w:rFonts w:ascii="Garamond" w:hAnsi="Garamond"/>
          <w:sz w:val="24"/>
          <w:szCs w:val="24"/>
        </w:rPr>
        <w:t>PatchGAN</w:t>
      </w:r>
      <w:proofErr w:type="spellEnd"/>
      <w:r w:rsidRPr="00C87A6C">
        <w:rPr>
          <w:rFonts w:ascii="Garamond" w:hAnsi="Garamond"/>
          <w:sz w:val="24"/>
          <w:szCs w:val="24"/>
        </w:rPr>
        <w:t>-inspired) discriminator is used to evaluate global structural realism. Separate GAN models are trained for each predefined occlusion scenario (e.g., left arm, right leg, both arms), ensuring specialized learning for different missing joint patterns.</w:t>
      </w:r>
    </w:p>
    <w:p w14:paraId="2AF56A6E" w14:textId="7847DE73" w:rsidR="00015737" w:rsidRPr="00C87A6C" w:rsidRDefault="00015737" w:rsidP="00015737">
      <w:pPr>
        <w:spacing w:after="0" w:line="240" w:lineRule="auto"/>
        <w:jc w:val="both"/>
        <w:rPr>
          <w:rFonts w:ascii="Garamond" w:hAnsi="Garamond"/>
          <w:b/>
          <w:bCs/>
          <w:sz w:val="24"/>
          <w:szCs w:val="24"/>
        </w:rPr>
      </w:pPr>
      <w:r w:rsidRPr="00C87A6C">
        <w:rPr>
          <w:rFonts w:ascii="Garamond" w:hAnsi="Garamond"/>
          <w:b/>
          <w:bCs/>
          <w:sz w:val="24"/>
          <w:szCs w:val="24"/>
        </w:rPr>
        <w:t>Training Strategy and Hyperparameters</w:t>
      </w:r>
      <w:r w:rsidR="002333B0" w:rsidRPr="00C87A6C">
        <w:rPr>
          <w:rFonts w:ascii="Garamond" w:hAnsi="Garamond"/>
          <w:b/>
          <w:bCs/>
          <w:sz w:val="24"/>
          <w:szCs w:val="24"/>
        </w:rPr>
        <w:t>:</w:t>
      </w:r>
    </w:p>
    <w:p w14:paraId="2400CA64" w14:textId="77777777"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To ensure reproducibility, all training parameters are explicitly defined. For the Transformer-based GAN, the generator is first pretrained using the Adam optimizer with a learning rate of 1 × 10</w:t>
      </w:r>
      <w:r w:rsidRPr="00C87A6C">
        <w:rPr>
          <w:rFonts w:ascii="Cambria Math" w:hAnsi="Cambria Math" w:cs="Cambria Math"/>
          <w:sz w:val="24"/>
          <w:szCs w:val="24"/>
        </w:rPr>
        <w:t>⁻⁴</w:t>
      </w:r>
      <w:r w:rsidRPr="00C87A6C">
        <w:rPr>
          <w:rFonts w:ascii="Garamond" w:hAnsi="Garamond"/>
          <w:sz w:val="24"/>
          <w:szCs w:val="24"/>
        </w:rPr>
        <w:t>, for 30 epochs and a batch size of 10. This is followed by adversarial training for 150 epochs using the same optimizer. For the CRNN-</w:t>
      </w:r>
      <w:proofErr w:type="spellStart"/>
      <w:r w:rsidRPr="00C87A6C">
        <w:rPr>
          <w:rFonts w:ascii="Garamond" w:hAnsi="Garamond"/>
          <w:sz w:val="24"/>
          <w:szCs w:val="24"/>
        </w:rPr>
        <w:t>BiLSTM</w:t>
      </w:r>
      <w:proofErr w:type="spellEnd"/>
      <w:r w:rsidRPr="00C87A6C">
        <w:rPr>
          <w:rFonts w:ascii="Garamond" w:hAnsi="Garamond"/>
          <w:sz w:val="24"/>
          <w:szCs w:val="24"/>
        </w:rPr>
        <w:t xml:space="preserve"> GAN, both generator and discriminator are trained using the Adam optimizer with a learning rate of 0.001, a batch size of 10, and 150 training epochs. All models are trained using an 80%–10%–10% split for training, validation, and testing datasets.</w:t>
      </w:r>
    </w:p>
    <w:p w14:paraId="5B4E57E4" w14:textId="77777777" w:rsidR="002333B0" w:rsidRPr="00C87A6C" w:rsidRDefault="00015737" w:rsidP="00015737">
      <w:pPr>
        <w:spacing w:after="0" w:line="240" w:lineRule="auto"/>
        <w:jc w:val="both"/>
        <w:rPr>
          <w:rFonts w:ascii="Garamond" w:hAnsi="Garamond"/>
          <w:b/>
          <w:bCs/>
          <w:sz w:val="24"/>
          <w:szCs w:val="24"/>
        </w:rPr>
      </w:pPr>
      <w:r w:rsidRPr="00C87A6C">
        <w:rPr>
          <w:rFonts w:ascii="Garamond" w:hAnsi="Garamond"/>
          <w:b/>
          <w:bCs/>
          <w:sz w:val="24"/>
          <w:szCs w:val="24"/>
        </w:rPr>
        <w:t>Loss Functions and Optimization</w:t>
      </w:r>
      <w:r w:rsidR="002333B0" w:rsidRPr="00C87A6C">
        <w:rPr>
          <w:rFonts w:ascii="Garamond" w:hAnsi="Garamond"/>
          <w:b/>
          <w:bCs/>
          <w:sz w:val="24"/>
          <w:szCs w:val="24"/>
        </w:rPr>
        <w:t>:</w:t>
      </w:r>
    </w:p>
    <w:p w14:paraId="5E64864F" w14:textId="678EA955" w:rsidR="00015737" w:rsidRPr="00C87A6C" w:rsidRDefault="00015737" w:rsidP="00015737">
      <w:pPr>
        <w:spacing w:after="0" w:line="240" w:lineRule="auto"/>
        <w:jc w:val="both"/>
        <w:rPr>
          <w:rFonts w:ascii="Garamond" w:hAnsi="Garamond"/>
          <w:b/>
          <w:bCs/>
          <w:sz w:val="24"/>
          <w:szCs w:val="24"/>
        </w:rPr>
      </w:pPr>
      <w:r w:rsidRPr="00C87A6C">
        <w:rPr>
          <w:rFonts w:ascii="Garamond" w:hAnsi="Garamond"/>
          <w:b/>
          <w:bCs/>
          <w:sz w:val="24"/>
          <w:szCs w:val="24"/>
        </w:rPr>
        <w:t>Transformer-based Loss Function</w:t>
      </w:r>
      <w:r w:rsidR="002333B0" w:rsidRPr="00C87A6C">
        <w:rPr>
          <w:rFonts w:ascii="Garamond" w:hAnsi="Garamond"/>
          <w:b/>
          <w:bCs/>
          <w:sz w:val="24"/>
          <w:szCs w:val="24"/>
        </w:rPr>
        <w:t>:</w:t>
      </w:r>
    </w:p>
    <w:p w14:paraId="51816103" w14:textId="77777777"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The Transformer-based model employs a composite loss function that combines reconstruction accuracy, structural consistency, and temporal smoothness:</w:t>
      </w:r>
    </w:p>
    <w:p w14:paraId="6B738189" w14:textId="77777777" w:rsidR="00015737" w:rsidRPr="00C87A6C" w:rsidRDefault="00015737" w:rsidP="00015737">
      <w:pPr>
        <w:spacing w:after="0" w:line="240" w:lineRule="auto"/>
        <w:jc w:val="both"/>
        <w:rPr>
          <w:rFonts w:ascii="Garamond" w:hAnsi="Garamond"/>
          <w:sz w:val="24"/>
          <w:szCs w:val="24"/>
        </w:rPr>
      </w:pPr>
      <m:oMathPara>
        <m:oMathParaPr>
          <m:jc m:val="center"/>
        </m:oMathParaPr>
        <m:oMath>
          <m:r>
            <w:rPr>
              <w:rFonts w:ascii="Cambria Math" w:hAnsi="Cambria Math"/>
              <w:sz w:val="24"/>
              <w:szCs w:val="24"/>
            </w:rPr>
            <m:t>L=</m:t>
          </m:r>
          <m:sSub>
            <m:sSubPr>
              <m:ctrlPr>
                <w:rPr>
                  <w:rFonts w:ascii="Cambria Math" w:hAnsi="Cambria Math"/>
                  <w:sz w:val="24"/>
                  <w:szCs w:val="24"/>
                </w:rPr>
              </m:ctrlPr>
            </m:sSubPr>
            <m:e>
              <m:r>
                <w:rPr>
                  <w:rFonts w:ascii="Cambria Math" w:hAnsi="Cambria Math"/>
                  <w:sz w:val="24"/>
                  <w:szCs w:val="24"/>
                </w:rPr>
                <m:t>λ</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MAE</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λ</m:t>
              </m:r>
            </m:e>
            <m:sub>
              <m: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bone</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λ</m:t>
              </m:r>
            </m:e>
            <m:sub>
              <m: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temp</m:t>
              </m:r>
            </m:sub>
          </m:sSub>
        </m:oMath>
      </m:oMathPara>
    </w:p>
    <w:p w14:paraId="493D4F9E" w14:textId="77777777"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 xml:space="preserve">where </w:t>
      </w:r>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MAE</m:t>
            </m:r>
          </m:sub>
        </m:sSub>
      </m:oMath>
      <w:r w:rsidRPr="00C87A6C">
        <w:rPr>
          <w:rFonts w:ascii="Garamond" w:hAnsi="Garamond"/>
          <w:sz w:val="24"/>
          <w:szCs w:val="24"/>
        </w:rPr>
        <w:t xml:space="preserve">is the mean absolute error, </w:t>
      </w:r>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bone</m:t>
            </m:r>
          </m:sub>
        </m:sSub>
      </m:oMath>
      <w:r w:rsidRPr="00C87A6C">
        <w:rPr>
          <w:rFonts w:ascii="Garamond" w:hAnsi="Garamond"/>
          <w:sz w:val="24"/>
          <w:szCs w:val="24"/>
        </w:rPr>
        <w:t xml:space="preserve">enforces bone length consistency, and </w:t>
      </w:r>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temp</m:t>
            </m:r>
          </m:sub>
        </m:sSub>
      </m:oMath>
      <w:r w:rsidRPr="00C87A6C">
        <w:rPr>
          <w:rFonts w:ascii="Garamond" w:hAnsi="Garamond"/>
          <w:sz w:val="24"/>
          <w:szCs w:val="24"/>
        </w:rPr>
        <w:t xml:space="preserve">ensures temporal smoothness. The weighting parameters are set as </w:t>
      </w:r>
      <m:oMath>
        <m:sSub>
          <m:sSubPr>
            <m:ctrlPr>
              <w:rPr>
                <w:rFonts w:ascii="Cambria Math" w:hAnsi="Cambria Math"/>
                <w:sz w:val="24"/>
                <w:szCs w:val="24"/>
              </w:rPr>
            </m:ctrlPr>
          </m:sSubPr>
          <m:e>
            <m:r>
              <w:rPr>
                <w:rFonts w:ascii="Cambria Math" w:hAnsi="Cambria Math"/>
                <w:sz w:val="24"/>
                <w:szCs w:val="24"/>
              </w:rPr>
              <m:t>λ</m:t>
            </m:r>
          </m:e>
          <m:sub>
            <m:r>
              <w:rPr>
                <w:rFonts w:ascii="Cambria Math" w:hAnsi="Cambria Math"/>
                <w:sz w:val="24"/>
                <w:szCs w:val="24"/>
              </w:rPr>
              <m:t>1</m:t>
            </m:r>
          </m:sub>
        </m:sSub>
        <m:r>
          <w:rPr>
            <w:rFonts w:ascii="Cambria Math" w:hAnsi="Cambria Math"/>
            <w:sz w:val="24"/>
            <w:szCs w:val="24"/>
          </w:rPr>
          <m:t>=100</m:t>
        </m:r>
      </m:oMath>
      <w:r w:rsidRPr="00C87A6C">
        <w:rPr>
          <w:rFonts w:ascii="Garamond" w:hAnsi="Garamond"/>
          <w:sz w:val="24"/>
          <w:szCs w:val="24"/>
        </w:rPr>
        <w:t xml:space="preserve">, </w:t>
      </w:r>
      <m:oMath>
        <m:sSub>
          <m:sSubPr>
            <m:ctrlPr>
              <w:rPr>
                <w:rFonts w:ascii="Cambria Math" w:hAnsi="Cambria Math"/>
                <w:sz w:val="24"/>
                <w:szCs w:val="24"/>
              </w:rPr>
            </m:ctrlPr>
          </m:sSubPr>
          <m:e>
            <m:r>
              <w:rPr>
                <w:rFonts w:ascii="Cambria Math" w:hAnsi="Cambria Math"/>
                <w:sz w:val="24"/>
                <w:szCs w:val="24"/>
              </w:rPr>
              <m:t>λ</m:t>
            </m:r>
          </m:e>
          <m:sub>
            <m:r>
              <w:rPr>
                <w:rFonts w:ascii="Cambria Math" w:hAnsi="Cambria Math"/>
                <w:sz w:val="24"/>
                <w:szCs w:val="24"/>
              </w:rPr>
              <m:t>2</m:t>
            </m:r>
          </m:sub>
        </m:sSub>
        <m:r>
          <w:rPr>
            <w:rFonts w:ascii="Cambria Math" w:hAnsi="Cambria Math"/>
            <w:sz w:val="24"/>
            <w:szCs w:val="24"/>
          </w:rPr>
          <m:t>=10</m:t>
        </m:r>
      </m:oMath>
      <w:r w:rsidRPr="00C87A6C">
        <w:rPr>
          <w:rFonts w:ascii="Garamond" w:hAnsi="Garamond"/>
          <w:sz w:val="24"/>
          <w:szCs w:val="24"/>
        </w:rPr>
        <w:t xml:space="preserve">, and </w:t>
      </w:r>
      <m:oMath>
        <m:sSub>
          <m:sSubPr>
            <m:ctrlPr>
              <w:rPr>
                <w:rFonts w:ascii="Cambria Math" w:hAnsi="Cambria Math"/>
                <w:sz w:val="24"/>
                <w:szCs w:val="24"/>
              </w:rPr>
            </m:ctrlPr>
          </m:sSubPr>
          <m:e>
            <m:r>
              <w:rPr>
                <w:rFonts w:ascii="Cambria Math" w:hAnsi="Cambria Math"/>
                <w:sz w:val="24"/>
                <w:szCs w:val="24"/>
              </w:rPr>
              <m:t>λ</m:t>
            </m:r>
          </m:e>
          <m:sub>
            <m:r>
              <w:rPr>
                <w:rFonts w:ascii="Cambria Math" w:hAnsi="Cambria Math"/>
                <w:sz w:val="24"/>
                <w:szCs w:val="24"/>
              </w:rPr>
              <m:t>3</m:t>
            </m:r>
          </m:sub>
        </m:sSub>
        <m:r>
          <w:rPr>
            <w:rFonts w:ascii="Cambria Math" w:hAnsi="Cambria Math"/>
            <w:sz w:val="24"/>
            <w:szCs w:val="24"/>
          </w:rPr>
          <m:t>=5</m:t>
        </m:r>
      </m:oMath>
      <w:r w:rsidRPr="00C87A6C">
        <w:rPr>
          <w:rFonts w:ascii="Garamond" w:hAnsi="Garamond"/>
          <w:sz w:val="24"/>
          <w:szCs w:val="24"/>
        </w:rPr>
        <w:t>.</w:t>
      </w:r>
    </w:p>
    <w:p w14:paraId="2A909D21" w14:textId="77777777" w:rsidR="00AC033E" w:rsidRDefault="00AC033E" w:rsidP="00015737">
      <w:pPr>
        <w:spacing w:after="0" w:line="240" w:lineRule="auto"/>
        <w:jc w:val="both"/>
        <w:rPr>
          <w:rFonts w:ascii="Garamond" w:hAnsi="Garamond"/>
          <w:b/>
          <w:bCs/>
          <w:sz w:val="24"/>
          <w:szCs w:val="24"/>
        </w:rPr>
      </w:pPr>
    </w:p>
    <w:p w14:paraId="18FD8648" w14:textId="6A9B7EB7" w:rsidR="00015737" w:rsidRPr="00C87A6C" w:rsidRDefault="00015737" w:rsidP="00015737">
      <w:pPr>
        <w:spacing w:after="0" w:line="240" w:lineRule="auto"/>
        <w:jc w:val="both"/>
        <w:rPr>
          <w:rFonts w:ascii="Garamond" w:hAnsi="Garamond"/>
          <w:b/>
          <w:bCs/>
          <w:sz w:val="24"/>
          <w:szCs w:val="24"/>
        </w:rPr>
      </w:pPr>
      <w:r w:rsidRPr="00C87A6C">
        <w:rPr>
          <w:rFonts w:ascii="Garamond" w:hAnsi="Garamond"/>
          <w:b/>
          <w:bCs/>
          <w:sz w:val="24"/>
          <w:szCs w:val="24"/>
        </w:rPr>
        <w:t>CRNN-based Pix2Pix Loss Function</w:t>
      </w:r>
      <w:r w:rsidR="002333B0" w:rsidRPr="00C87A6C">
        <w:rPr>
          <w:rFonts w:ascii="Garamond" w:hAnsi="Garamond"/>
          <w:b/>
          <w:bCs/>
          <w:sz w:val="24"/>
          <w:szCs w:val="24"/>
        </w:rPr>
        <w:t>:</w:t>
      </w:r>
    </w:p>
    <w:p w14:paraId="51154675" w14:textId="77777777" w:rsidR="00015737" w:rsidRPr="00C87A6C" w:rsidRDefault="00015737" w:rsidP="00015737">
      <w:pPr>
        <w:spacing w:after="0" w:line="240" w:lineRule="auto"/>
        <w:jc w:val="both"/>
        <w:rPr>
          <w:rFonts w:ascii="Garamond" w:hAnsi="Garamond"/>
          <w:sz w:val="24"/>
          <w:szCs w:val="24"/>
        </w:rPr>
      </w:pPr>
      <w:r w:rsidRPr="00C87A6C">
        <w:rPr>
          <w:rFonts w:ascii="Garamond" w:hAnsi="Garamond"/>
          <w:sz w:val="24"/>
          <w:szCs w:val="24"/>
        </w:rPr>
        <w:t>The CRNN-based GAN follows a Pix2Pix-style objective combining adversarial and reconstruction losses:</w:t>
      </w:r>
    </w:p>
    <w:p w14:paraId="383CC93A" w14:textId="77777777" w:rsidR="00015737" w:rsidRPr="00C87A6C" w:rsidRDefault="00000000" w:rsidP="00015737">
      <w:pPr>
        <w:spacing w:after="0" w:line="240" w:lineRule="auto"/>
        <w:jc w:val="both"/>
        <w:rPr>
          <w:rFonts w:ascii="Garamond" w:hAnsi="Garamond"/>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total</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adv</m:t>
              </m:r>
            </m:sub>
          </m:sSub>
          <m:r>
            <w:rPr>
              <w:rFonts w:ascii="Cambria Math" w:hAnsi="Cambria Math"/>
              <w:sz w:val="24"/>
              <w:szCs w:val="24"/>
            </w:rPr>
            <m:t>+λ</m:t>
          </m:r>
          <m:d>
            <m:dPr>
              <m:sep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L1</m:t>
                  </m:r>
                </m:sub>
              </m:sSub>
            </m:e>
            <m:e>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bone</m:t>
                  </m:r>
                </m:sub>
              </m:sSub>
            </m:e>
            <m:e>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temp</m:t>
                  </m:r>
                </m:sub>
              </m:sSub>
            </m:e>
          </m:d>
        </m:oMath>
      </m:oMathPara>
    </w:p>
    <w:p w14:paraId="0F007DEE" w14:textId="77777777"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 xml:space="preserve">where </w:t>
      </w:r>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adv</m:t>
            </m:r>
          </m:sub>
        </m:sSub>
      </m:oMath>
      <w:r w:rsidRPr="00C87A6C">
        <w:rPr>
          <w:rFonts w:ascii="Garamond" w:hAnsi="Garamond"/>
          <w:sz w:val="24"/>
          <w:szCs w:val="24"/>
        </w:rPr>
        <w:t xml:space="preserve">is the adversarial loss defined using binary cross-entropy, and </w:t>
      </w:r>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L1</m:t>
            </m:r>
          </m:sub>
        </m:sSub>
      </m:oMath>
      <w:r w:rsidRPr="00C87A6C">
        <w:rPr>
          <w:rFonts w:ascii="Garamond" w:hAnsi="Garamond"/>
          <w:sz w:val="24"/>
          <w:szCs w:val="24"/>
        </w:rPr>
        <w:t xml:space="preserve">is the reconstruction loss. The weighting factor is set to </w:t>
      </w:r>
      <m:oMath>
        <m:r>
          <w:rPr>
            <w:rFonts w:ascii="Cambria Math" w:hAnsi="Cambria Math"/>
            <w:sz w:val="24"/>
            <w:szCs w:val="24"/>
          </w:rPr>
          <m:t>λ=50</m:t>
        </m:r>
      </m:oMath>
      <w:r w:rsidRPr="00C87A6C">
        <w:rPr>
          <w:rFonts w:ascii="Garamond" w:hAnsi="Garamond"/>
          <w:sz w:val="24"/>
          <w:szCs w:val="24"/>
        </w:rPr>
        <w:t>.</w:t>
      </w:r>
    </w:p>
    <w:p w14:paraId="20EBCE5B" w14:textId="77777777" w:rsidR="00015737" w:rsidRPr="00C87A6C" w:rsidRDefault="00015737" w:rsidP="00015737">
      <w:pPr>
        <w:spacing w:after="0" w:line="240" w:lineRule="auto"/>
        <w:jc w:val="both"/>
        <w:rPr>
          <w:rFonts w:ascii="Garamond" w:hAnsi="Garamond"/>
          <w:sz w:val="24"/>
          <w:szCs w:val="24"/>
        </w:rPr>
      </w:pPr>
      <w:r w:rsidRPr="00C87A6C">
        <w:rPr>
          <w:rFonts w:ascii="Garamond" w:hAnsi="Garamond"/>
          <w:sz w:val="24"/>
          <w:szCs w:val="24"/>
        </w:rPr>
        <w:t>The adversarial loss is defined as:</w:t>
      </w:r>
    </w:p>
    <w:p w14:paraId="16FFFCDC" w14:textId="77777777" w:rsidR="002333B0" w:rsidRPr="00C87A6C" w:rsidRDefault="00000000" w:rsidP="005A4540">
      <w:pPr>
        <w:spacing w:after="0" w:line="240" w:lineRule="auto"/>
        <w:jc w:val="both"/>
        <w:rPr>
          <w:rFonts w:ascii="Garamond" w:eastAsiaTheme="minorEastAsia" w:hAnsi="Garamond"/>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adv</m:t>
              </m:r>
            </m:sub>
          </m:sSub>
          <m:r>
            <w:rPr>
              <w:rFonts w:ascii="Cambria Math" w:hAnsi="Cambria Math"/>
              <w:sz w:val="24"/>
              <w:szCs w:val="24"/>
            </w:rPr>
            <m:t>=</m:t>
          </m:r>
          <m:r>
            <m:rPr>
              <m:scr m:val="double-struck"/>
              <m:sty m:val="p"/>
            </m:rPr>
            <w:rPr>
              <w:rFonts w:ascii="Cambria Math" w:hAnsi="Cambria Math"/>
              <w:sz w:val="24"/>
              <w:szCs w:val="24"/>
            </w:rPr>
            <m:t>E</m:t>
          </m:r>
          <m:d>
            <m:dPr>
              <m:begChr m:val="["/>
              <m:endChr m:val="]"/>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log</m:t>
                  </m:r>
                </m:fName>
                <m:e>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x,y</m:t>
                      </m:r>
                    </m:e>
                  </m:d>
                </m:e>
              </m:func>
            </m:e>
          </m:d>
          <m:r>
            <w:rPr>
              <w:rFonts w:ascii="Cambria Math" w:hAnsi="Cambria Math"/>
              <w:sz w:val="24"/>
              <w:szCs w:val="24"/>
            </w:rPr>
            <m:t>+</m:t>
          </m:r>
          <m:r>
            <m:rPr>
              <m:scr m:val="double-struck"/>
              <m:sty m:val="p"/>
            </m:rPr>
            <w:rPr>
              <w:rFonts w:ascii="Cambria Math" w:hAnsi="Cambria Math"/>
              <w:sz w:val="24"/>
              <w:szCs w:val="24"/>
            </w:rPr>
            <m:t>E</m:t>
          </m:r>
          <m:d>
            <m:dPr>
              <m:begChr m:val="["/>
              <m:endChr m:val="]"/>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log</m:t>
                  </m:r>
                </m:fName>
                <m:e>
                  <m:d>
                    <m:dPr>
                      <m:ctrlPr>
                        <w:rPr>
                          <w:rFonts w:ascii="Cambria Math" w:hAnsi="Cambria Math"/>
                          <w:i/>
                          <w:sz w:val="24"/>
                          <w:szCs w:val="24"/>
                        </w:rPr>
                      </m:ctrlPr>
                    </m:dPr>
                    <m:e>
                      <m:r>
                        <w:rPr>
                          <w:rFonts w:ascii="Cambria Math" w:hAnsi="Cambria Math"/>
                          <w:sz w:val="24"/>
                          <w:szCs w:val="24"/>
                        </w:rPr>
                        <m:t>1-D</m:t>
                      </m:r>
                      <m:d>
                        <m:dPr>
                          <m:ctrlPr>
                            <w:rPr>
                              <w:rFonts w:ascii="Cambria Math" w:hAnsi="Cambria Math"/>
                              <w:i/>
                              <w:sz w:val="24"/>
                              <w:szCs w:val="24"/>
                            </w:rPr>
                          </m:ctrlPr>
                        </m:dPr>
                        <m:e>
                          <m:r>
                            <w:rPr>
                              <w:rFonts w:ascii="Cambria Math" w:hAnsi="Cambria Math"/>
                              <w:sz w:val="24"/>
                              <w:szCs w:val="24"/>
                            </w:rPr>
                            <m:t>x,G</m:t>
                          </m:r>
                          <m:d>
                            <m:dPr>
                              <m:ctrlPr>
                                <w:rPr>
                                  <w:rFonts w:ascii="Cambria Math" w:hAnsi="Cambria Math"/>
                                  <w:i/>
                                  <w:sz w:val="24"/>
                                  <w:szCs w:val="24"/>
                                </w:rPr>
                              </m:ctrlPr>
                            </m:dPr>
                            <m:e>
                              <m:r>
                                <w:rPr>
                                  <w:rFonts w:ascii="Cambria Math" w:hAnsi="Cambria Math"/>
                                  <w:sz w:val="24"/>
                                  <w:szCs w:val="24"/>
                                </w:rPr>
                                <m:t>x</m:t>
                              </m:r>
                            </m:e>
                          </m:d>
                        </m:e>
                      </m:d>
                    </m:e>
                  </m:d>
                </m:e>
              </m:func>
            </m:e>
          </m:d>
        </m:oMath>
      </m:oMathPara>
    </w:p>
    <w:p w14:paraId="031DE27E" w14:textId="18B29B64" w:rsidR="00015737" w:rsidRPr="00C87A6C" w:rsidRDefault="00015737" w:rsidP="002333B0">
      <w:pPr>
        <w:spacing w:after="0" w:line="240" w:lineRule="auto"/>
        <w:ind w:firstLine="720"/>
        <w:jc w:val="both"/>
        <w:rPr>
          <w:rFonts w:ascii="Garamond" w:eastAsiaTheme="minorEastAsia" w:hAnsi="Garamond"/>
          <w:sz w:val="24"/>
          <w:szCs w:val="24"/>
        </w:rPr>
      </w:pPr>
      <w:r w:rsidRPr="00C87A6C">
        <w:rPr>
          <w:rFonts w:ascii="Garamond" w:hAnsi="Garamond"/>
          <w:sz w:val="24"/>
          <w:szCs w:val="24"/>
        </w:rPr>
        <w:t xml:space="preserve">where </w:t>
      </w:r>
      <m:oMath>
        <m:r>
          <w:rPr>
            <w:rFonts w:ascii="Cambria Math" w:hAnsi="Cambria Math"/>
            <w:sz w:val="24"/>
            <w:szCs w:val="24"/>
          </w:rPr>
          <m:t>x</m:t>
        </m:r>
      </m:oMath>
      <w:r w:rsidRPr="00C87A6C">
        <w:rPr>
          <w:rFonts w:ascii="Garamond" w:hAnsi="Garamond"/>
          <w:sz w:val="24"/>
          <w:szCs w:val="24"/>
        </w:rPr>
        <w:t xml:space="preserve">represents the occluded input, </w:t>
      </w:r>
      <m:oMath>
        <m:r>
          <w:rPr>
            <w:rFonts w:ascii="Cambria Math" w:hAnsi="Cambria Math"/>
            <w:sz w:val="24"/>
            <w:szCs w:val="24"/>
          </w:rPr>
          <m:t>y</m:t>
        </m:r>
      </m:oMath>
      <w:r w:rsidRPr="00C87A6C">
        <w:rPr>
          <w:rFonts w:ascii="Garamond" w:hAnsi="Garamond"/>
          <w:sz w:val="24"/>
          <w:szCs w:val="24"/>
        </w:rPr>
        <w:t xml:space="preserve">is the ground truth skeleton, and </w:t>
      </w:r>
      <m:oMath>
        <m:r>
          <w:rPr>
            <w:rFonts w:ascii="Cambria Math" w:hAnsi="Cambria Math"/>
            <w:sz w:val="24"/>
            <w:szCs w:val="24"/>
          </w:rPr>
          <m:t>G(x)</m:t>
        </m:r>
      </m:oMath>
      <w:r w:rsidRPr="00C87A6C">
        <w:rPr>
          <w:rFonts w:ascii="Garamond" w:hAnsi="Garamond"/>
          <w:sz w:val="24"/>
          <w:szCs w:val="24"/>
        </w:rPr>
        <w:t>is the reconstructed output.</w:t>
      </w:r>
    </w:p>
    <w:p w14:paraId="2C86A25D" w14:textId="759439DE" w:rsidR="00015737" w:rsidRPr="00C87A6C" w:rsidRDefault="00015737" w:rsidP="00015737">
      <w:pPr>
        <w:spacing w:after="0" w:line="240" w:lineRule="auto"/>
        <w:jc w:val="both"/>
        <w:rPr>
          <w:rFonts w:ascii="Garamond" w:hAnsi="Garamond"/>
          <w:b/>
          <w:bCs/>
          <w:sz w:val="24"/>
          <w:szCs w:val="24"/>
        </w:rPr>
      </w:pPr>
      <w:r w:rsidRPr="00C87A6C">
        <w:rPr>
          <w:rFonts w:ascii="Garamond" w:hAnsi="Garamond"/>
          <w:b/>
          <w:bCs/>
          <w:sz w:val="24"/>
          <w:szCs w:val="24"/>
        </w:rPr>
        <w:t>Activity Recognition Evaluation</w:t>
      </w:r>
      <w:r w:rsidR="002333B0" w:rsidRPr="00C87A6C">
        <w:rPr>
          <w:rFonts w:ascii="Garamond" w:hAnsi="Garamond"/>
          <w:b/>
          <w:bCs/>
          <w:sz w:val="24"/>
          <w:szCs w:val="24"/>
        </w:rPr>
        <w:t>:</w:t>
      </w:r>
    </w:p>
    <w:p w14:paraId="440F922B" w14:textId="543631D6"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During the evaluation phase, occluded skeleton sequences are reconstructed using the trained generator corresponding to the specific occlusion case. The reconstructed sequences are then passed to a standalone LSTM-based classifier, which is trained on non-occluded data to perform Human Activity Recognition</w:t>
      </w:r>
      <w:r w:rsidR="00CC5840" w:rsidRPr="00C87A6C">
        <w:rPr>
          <w:rFonts w:ascii="Garamond" w:hAnsi="Garamond"/>
          <w:sz w:val="24"/>
          <w:szCs w:val="24"/>
        </w:rPr>
        <w:t>,</w:t>
      </w:r>
      <w:r w:rsidRPr="00C87A6C">
        <w:rPr>
          <w:rFonts w:ascii="Garamond" w:hAnsi="Garamond"/>
          <w:sz w:val="24"/>
          <w:szCs w:val="24"/>
        </w:rPr>
        <w:t xml:space="preserve"> and it classifies human activities like standing, picking, sitting</w:t>
      </w:r>
      <w:r w:rsidR="00CC5840" w:rsidRPr="00C87A6C">
        <w:rPr>
          <w:rFonts w:ascii="Garamond" w:hAnsi="Garamond"/>
          <w:sz w:val="24"/>
          <w:szCs w:val="24"/>
        </w:rPr>
        <w:t>,</w:t>
      </w:r>
      <w:r w:rsidRPr="00C87A6C">
        <w:rPr>
          <w:rFonts w:ascii="Garamond" w:hAnsi="Garamond"/>
          <w:sz w:val="24"/>
          <w:szCs w:val="24"/>
        </w:rPr>
        <w:t xml:space="preserve"> etc.</w:t>
      </w:r>
      <w:r w:rsidR="00CC5840" w:rsidRPr="00C87A6C">
        <w:rPr>
          <w:rFonts w:ascii="Garamond" w:hAnsi="Garamond"/>
          <w:sz w:val="24"/>
          <w:szCs w:val="24"/>
        </w:rPr>
        <w:t>,</w:t>
      </w:r>
      <w:r w:rsidRPr="00C87A6C">
        <w:rPr>
          <w:rFonts w:ascii="Garamond" w:hAnsi="Garamond"/>
          <w:sz w:val="24"/>
          <w:szCs w:val="24"/>
        </w:rPr>
        <w:t xml:space="preserve"> as illustrated in Fig. 2.</w:t>
      </w:r>
    </w:p>
    <w:p w14:paraId="246757EF" w14:textId="77777777" w:rsidR="00015737" w:rsidRPr="00C87A6C" w:rsidRDefault="00015737" w:rsidP="005A4540">
      <w:pPr>
        <w:spacing w:after="0" w:line="240" w:lineRule="auto"/>
        <w:jc w:val="center"/>
        <w:rPr>
          <w:rFonts w:ascii="Garamond" w:hAnsi="Garamond"/>
          <w:bCs/>
          <w:sz w:val="24"/>
          <w:szCs w:val="24"/>
        </w:rPr>
      </w:pPr>
      <w:r w:rsidRPr="00C87A6C">
        <w:rPr>
          <w:rFonts w:ascii="Garamond" w:hAnsi="Garamond"/>
          <w:bCs/>
          <w:noProof/>
          <w:sz w:val="24"/>
          <w:szCs w:val="24"/>
        </w:rPr>
        <w:drawing>
          <wp:inline distT="0" distB="0" distL="0" distR="0" wp14:anchorId="3F5F5049" wp14:editId="02B29FCA">
            <wp:extent cx="4776826" cy="1761724"/>
            <wp:effectExtent l="0" t="0" r="5080" b="0"/>
            <wp:docPr id="505683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42" r="866" b="3148"/>
                    <a:stretch>
                      <a:fillRect/>
                    </a:stretch>
                  </pic:blipFill>
                  <pic:spPr bwMode="auto">
                    <a:xfrm>
                      <a:off x="0" y="0"/>
                      <a:ext cx="4856617" cy="1791151"/>
                    </a:xfrm>
                    <a:prstGeom prst="rect">
                      <a:avLst/>
                    </a:prstGeom>
                    <a:noFill/>
                    <a:ln>
                      <a:noFill/>
                    </a:ln>
                    <a:extLst>
                      <a:ext uri="{53640926-AAD7-44D8-BBD7-CCE9431645EC}">
                        <a14:shadowObscured xmlns:a14="http://schemas.microsoft.com/office/drawing/2010/main"/>
                      </a:ext>
                    </a:extLst>
                  </pic:spPr>
                </pic:pic>
              </a:graphicData>
            </a:graphic>
          </wp:inline>
        </w:drawing>
      </w:r>
    </w:p>
    <w:p w14:paraId="2BA53D46" w14:textId="13290D76" w:rsidR="00015737" w:rsidRPr="00C87A6C" w:rsidRDefault="00015737" w:rsidP="00D3767E">
      <w:pPr>
        <w:spacing w:after="0" w:line="240" w:lineRule="auto"/>
        <w:jc w:val="center"/>
        <w:rPr>
          <w:rFonts w:ascii="Garamond" w:hAnsi="Garamond"/>
          <w:b/>
          <w:sz w:val="24"/>
          <w:szCs w:val="24"/>
        </w:rPr>
      </w:pPr>
      <w:r w:rsidRPr="00C87A6C">
        <w:rPr>
          <w:rFonts w:ascii="Garamond" w:hAnsi="Garamond"/>
          <w:b/>
          <w:sz w:val="24"/>
          <w:szCs w:val="24"/>
        </w:rPr>
        <w:t>Fig</w:t>
      </w:r>
      <w:r w:rsidR="005A4540" w:rsidRPr="00C87A6C">
        <w:rPr>
          <w:rFonts w:ascii="Garamond" w:hAnsi="Garamond"/>
          <w:b/>
          <w:sz w:val="24"/>
          <w:szCs w:val="24"/>
        </w:rPr>
        <w:t xml:space="preserve">ure </w:t>
      </w:r>
      <w:r w:rsidR="00D3767E" w:rsidRPr="00C87A6C">
        <w:rPr>
          <w:rFonts w:ascii="Garamond" w:hAnsi="Garamond"/>
          <w:b/>
          <w:sz w:val="24"/>
          <w:szCs w:val="24"/>
        </w:rPr>
        <w:t>3</w:t>
      </w:r>
      <w:r w:rsidRPr="00C87A6C">
        <w:rPr>
          <w:rFonts w:ascii="Garamond" w:hAnsi="Garamond"/>
          <w:b/>
          <w:sz w:val="24"/>
          <w:szCs w:val="24"/>
        </w:rPr>
        <w:t xml:space="preserve">. </w:t>
      </w:r>
      <w:r w:rsidRPr="00C87A6C">
        <w:rPr>
          <w:rFonts w:ascii="Garamond" w:hAnsi="Garamond"/>
          <w:bCs/>
          <w:sz w:val="24"/>
          <w:szCs w:val="24"/>
        </w:rPr>
        <w:t>Flow Diagram of Classification of Activities</w:t>
      </w:r>
    </w:p>
    <w:p w14:paraId="2C0E6D99" w14:textId="77777777" w:rsidR="00015737" w:rsidRPr="00C87A6C" w:rsidRDefault="00015737" w:rsidP="002333B0">
      <w:pPr>
        <w:spacing w:after="0" w:line="240" w:lineRule="auto"/>
        <w:ind w:firstLine="720"/>
        <w:jc w:val="both"/>
        <w:rPr>
          <w:rFonts w:ascii="Garamond" w:hAnsi="Garamond"/>
          <w:sz w:val="24"/>
          <w:szCs w:val="24"/>
        </w:rPr>
      </w:pPr>
      <w:r w:rsidRPr="00C87A6C">
        <w:rPr>
          <w:rFonts w:ascii="Garamond" w:hAnsi="Garamond"/>
          <w:sz w:val="24"/>
          <w:szCs w:val="24"/>
        </w:rPr>
        <w:t>The performance is evaluated using weighted accuracy, per-class accuracy, and F1-score. Additionally, comparisons are made with baseline approaches, including models trained on non-occluded data, regression-based reconstruction methods, and augmentation-based techniques.</w:t>
      </w:r>
    </w:p>
    <w:p w14:paraId="552E3B07" w14:textId="3961C00A" w:rsidR="00015737" w:rsidRPr="00C87A6C" w:rsidRDefault="00015737" w:rsidP="00015737">
      <w:pPr>
        <w:spacing w:after="0" w:line="240" w:lineRule="auto"/>
        <w:jc w:val="both"/>
        <w:rPr>
          <w:rFonts w:ascii="Garamond" w:hAnsi="Garamond"/>
          <w:b/>
          <w:sz w:val="24"/>
          <w:szCs w:val="24"/>
        </w:rPr>
      </w:pPr>
      <w:r w:rsidRPr="00C87A6C">
        <w:rPr>
          <w:rFonts w:ascii="Garamond" w:hAnsi="Garamond"/>
          <w:b/>
          <w:sz w:val="24"/>
          <w:szCs w:val="24"/>
        </w:rPr>
        <w:t xml:space="preserve">Results and </w:t>
      </w:r>
      <w:r w:rsidR="002333B0" w:rsidRPr="00C87A6C">
        <w:rPr>
          <w:rFonts w:ascii="Garamond" w:hAnsi="Garamond"/>
          <w:b/>
          <w:sz w:val="24"/>
          <w:szCs w:val="24"/>
        </w:rPr>
        <w:t>Discussion:</w:t>
      </w:r>
    </w:p>
    <w:p w14:paraId="699B6FC1" w14:textId="77777777" w:rsidR="00015737" w:rsidRPr="00C87A6C" w:rsidRDefault="00015737" w:rsidP="002333B0">
      <w:pPr>
        <w:spacing w:after="0" w:line="240" w:lineRule="auto"/>
        <w:ind w:firstLine="720"/>
        <w:jc w:val="both"/>
        <w:rPr>
          <w:rFonts w:ascii="Garamond" w:hAnsi="Garamond"/>
          <w:bCs/>
          <w:sz w:val="24"/>
          <w:szCs w:val="24"/>
        </w:rPr>
      </w:pPr>
      <w:r w:rsidRPr="00C87A6C">
        <w:rPr>
          <w:rFonts w:ascii="Garamond" w:hAnsi="Garamond"/>
          <w:bCs/>
          <w:sz w:val="24"/>
          <w:szCs w:val="24"/>
        </w:rPr>
        <w:t>The proposed GAN-based framework is evaluated for both skeleton reconstruction accuracy and human activity classification performance under eight challenging occlusion scenarios. The effectiveness of the proposed GAN-CRNN+BiLSTM and GAN-Transformer models is assessed by comparing them with the benchmark GAN-CRNN (Max) model using weighted accuracy, class accuracy, and F1-score metrics.</w:t>
      </w:r>
    </w:p>
    <w:p w14:paraId="2DC38A56" w14:textId="089AEDAD" w:rsidR="00015737" w:rsidRPr="00C87A6C" w:rsidRDefault="00015737" w:rsidP="00015737">
      <w:pPr>
        <w:spacing w:after="0" w:line="240" w:lineRule="auto"/>
        <w:jc w:val="both"/>
        <w:rPr>
          <w:rFonts w:ascii="Garamond" w:hAnsi="Garamond"/>
          <w:b/>
          <w:sz w:val="24"/>
          <w:szCs w:val="24"/>
        </w:rPr>
      </w:pPr>
      <w:r w:rsidRPr="00C87A6C">
        <w:rPr>
          <w:rFonts w:ascii="Garamond" w:hAnsi="Garamond"/>
          <w:b/>
          <w:sz w:val="24"/>
          <w:szCs w:val="24"/>
        </w:rPr>
        <w:t>Reconstruction Performance Analysis</w:t>
      </w:r>
      <w:r w:rsidR="002333B0" w:rsidRPr="00C87A6C">
        <w:rPr>
          <w:rFonts w:ascii="Garamond" w:hAnsi="Garamond"/>
          <w:b/>
          <w:sz w:val="24"/>
          <w:szCs w:val="24"/>
        </w:rPr>
        <w:t>:</w:t>
      </w:r>
    </w:p>
    <w:p w14:paraId="419EBDE3" w14:textId="77777777" w:rsidR="00015737"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 xml:space="preserve">The reconstruction performance of the proposed models is evaluated using weighted accuracy across eight occlusion scenarios, as presented in Table 1. The table compares the proposed GAN-CRNN </w:t>
      </w:r>
      <w:proofErr w:type="spellStart"/>
      <w:r w:rsidRPr="00C87A6C">
        <w:rPr>
          <w:rFonts w:ascii="Garamond" w:hAnsi="Garamond"/>
          <w:bCs/>
          <w:sz w:val="24"/>
          <w:szCs w:val="24"/>
        </w:rPr>
        <w:t>BiLSTM</w:t>
      </w:r>
      <w:proofErr w:type="spellEnd"/>
      <w:r w:rsidRPr="00C87A6C">
        <w:rPr>
          <w:rFonts w:ascii="Garamond" w:hAnsi="Garamond"/>
          <w:bCs/>
          <w:sz w:val="24"/>
          <w:szCs w:val="24"/>
        </w:rPr>
        <w:t xml:space="preserve"> and GAN-Transformer models with the baseline GAN-CRNN (Min/Max) results reported in prior work.</w:t>
      </w:r>
    </w:p>
    <w:p w14:paraId="0E1EAB06" w14:textId="77777777" w:rsidR="00AC033E" w:rsidRPr="00C87A6C" w:rsidRDefault="00AC033E" w:rsidP="00AC033E">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 xml:space="preserve">As shown in Table 1, both proposed models consistently outperform the baseline GAN-CRNN across all occlusion cases. The baseline method achieves weighted accuracy in the range of 0.50–0.80, whereas the proposed models improve performance to approximately 0.75–0.79. On average, the GAN-CRNN </w:t>
      </w:r>
      <w:proofErr w:type="spellStart"/>
      <w:r w:rsidRPr="00C87A6C">
        <w:rPr>
          <w:rFonts w:ascii="Garamond" w:hAnsi="Garamond"/>
          <w:bCs/>
          <w:sz w:val="24"/>
          <w:szCs w:val="24"/>
        </w:rPr>
        <w:t>BiLSTM</w:t>
      </w:r>
      <w:proofErr w:type="spellEnd"/>
      <w:r w:rsidRPr="00C87A6C">
        <w:rPr>
          <w:rFonts w:ascii="Garamond" w:hAnsi="Garamond"/>
          <w:bCs/>
          <w:sz w:val="24"/>
          <w:szCs w:val="24"/>
        </w:rPr>
        <w:t xml:space="preserve"> achieves an improvement of approximately ~32.7% over GAN-CRNN (Min) and ~18.3% over GAN-CRNN (Max), while the GAN-Transformer demonstrates further gains of ~35.1% and ~20.5%, respectively. A detailed analysis reveals that the Transformer-based model performs particularly well in complex occlusion scenarios, such as </w:t>
      </w:r>
      <w:proofErr w:type="spellStart"/>
      <w:r w:rsidRPr="00C87A6C">
        <w:rPr>
          <w:rFonts w:ascii="Garamond" w:hAnsi="Garamond"/>
          <w:bCs/>
          <w:sz w:val="24"/>
          <w:szCs w:val="24"/>
        </w:rPr>
        <w:t>left_arm_leg</w:t>
      </w:r>
      <w:proofErr w:type="spellEnd"/>
      <w:r w:rsidRPr="00C87A6C">
        <w:rPr>
          <w:rFonts w:ascii="Garamond" w:hAnsi="Garamond"/>
          <w:bCs/>
          <w:sz w:val="24"/>
          <w:szCs w:val="24"/>
        </w:rPr>
        <w:t xml:space="preserve"> (0.7889) and </w:t>
      </w:r>
      <w:proofErr w:type="spellStart"/>
      <w:r w:rsidRPr="00C87A6C">
        <w:rPr>
          <w:rFonts w:ascii="Garamond" w:hAnsi="Garamond"/>
          <w:bCs/>
          <w:sz w:val="24"/>
          <w:szCs w:val="24"/>
        </w:rPr>
        <w:t>left_leg</w:t>
      </w:r>
      <w:proofErr w:type="spellEnd"/>
      <w:r w:rsidRPr="00C87A6C">
        <w:rPr>
          <w:rFonts w:ascii="Garamond" w:hAnsi="Garamond"/>
          <w:bCs/>
          <w:sz w:val="24"/>
          <w:szCs w:val="24"/>
        </w:rPr>
        <w:t xml:space="preserve"> (0.7903), where long-range spatial–temporal dependencies are critical. In contrast, the CRNN-</w:t>
      </w:r>
      <w:proofErr w:type="spellStart"/>
      <w:r w:rsidRPr="00C87A6C">
        <w:rPr>
          <w:rFonts w:ascii="Garamond" w:hAnsi="Garamond"/>
          <w:bCs/>
          <w:sz w:val="24"/>
          <w:szCs w:val="24"/>
        </w:rPr>
        <w:t>BiLSTM</w:t>
      </w:r>
      <w:proofErr w:type="spellEnd"/>
      <w:r w:rsidRPr="00C87A6C">
        <w:rPr>
          <w:rFonts w:ascii="Garamond" w:hAnsi="Garamond"/>
          <w:bCs/>
          <w:sz w:val="24"/>
          <w:szCs w:val="24"/>
        </w:rPr>
        <w:t xml:space="preserve"> model exhibits stable performance across all cases due to its bidirectional temporal modeling capability. However, in relatively simpler occlusion scenarios (e.g., </w:t>
      </w:r>
      <w:proofErr w:type="spellStart"/>
      <w:r w:rsidRPr="00C87A6C">
        <w:rPr>
          <w:rFonts w:ascii="Garamond" w:hAnsi="Garamond"/>
          <w:bCs/>
          <w:sz w:val="24"/>
          <w:szCs w:val="24"/>
        </w:rPr>
        <w:t>right_arm</w:t>
      </w:r>
      <w:proofErr w:type="spellEnd"/>
      <w:r w:rsidRPr="00C87A6C">
        <w:rPr>
          <w:rFonts w:ascii="Garamond" w:hAnsi="Garamond"/>
          <w:bCs/>
          <w:sz w:val="24"/>
          <w:szCs w:val="24"/>
        </w:rPr>
        <w:t xml:space="preserve">), both models show comparable performance, indicating that local temporal dependencies are sufficient in such cases. </w:t>
      </w:r>
    </w:p>
    <w:p w14:paraId="2C15F7CD" w14:textId="2E517081" w:rsidR="00015737" w:rsidRPr="00C87A6C" w:rsidRDefault="00015737" w:rsidP="00AC033E">
      <w:pPr>
        <w:pStyle w:val="ListParagraph"/>
        <w:spacing w:after="0" w:line="240" w:lineRule="auto"/>
        <w:ind w:left="0"/>
        <w:jc w:val="center"/>
        <w:rPr>
          <w:rFonts w:ascii="Garamond" w:hAnsi="Garamond"/>
          <w:sz w:val="24"/>
          <w:szCs w:val="24"/>
        </w:rPr>
      </w:pPr>
      <w:r w:rsidRPr="00C87A6C">
        <w:rPr>
          <w:rFonts w:ascii="Garamond" w:hAnsi="Garamond"/>
          <w:b/>
          <w:sz w:val="24"/>
          <w:szCs w:val="24"/>
        </w:rPr>
        <w:t>Table 1</w:t>
      </w:r>
      <w:r w:rsidR="00D3767E" w:rsidRPr="00C87A6C">
        <w:rPr>
          <w:rFonts w:ascii="Garamond" w:hAnsi="Garamond"/>
          <w:sz w:val="24"/>
          <w:szCs w:val="24"/>
        </w:rPr>
        <w:t>.</w:t>
      </w:r>
      <w:r w:rsidRPr="00C87A6C">
        <w:rPr>
          <w:rFonts w:ascii="Garamond" w:hAnsi="Garamond"/>
          <w:sz w:val="24"/>
          <w:szCs w:val="24"/>
        </w:rPr>
        <w:t xml:space="preserve"> Weighted accuracy results for skeleton reconstruction: a comparison between the proposed models and existing state-of-the-art GAN approaches.</w:t>
      </w:r>
    </w:p>
    <w:tbl>
      <w:tblPr>
        <w:tblStyle w:val="TableGrid"/>
        <w:tblW w:w="0" w:type="auto"/>
        <w:jc w:val="center"/>
        <w:tblLook w:val="04A0" w:firstRow="1" w:lastRow="0" w:firstColumn="1" w:lastColumn="0" w:noHBand="0" w:noVBand="1"/>
      </w:tblPr>
      <w:tblGrid>
        <w:gridCol w:w="654"/>
        <w:gridCol w:w="1516"/>
        <w:gridCol w:w="1515"/>
        <w:gridCol w:w="1530"/>
        <w:gridCol w:w="1530"/>
        <w:gridCol w:w="1397"/>
      </w:tblGrid>
      <w:tr w:rsidR="00D3767E" w:rsidRPr="00C87A6C" w14:paraId="555A0C48" w14:textId="77777777" w:rsidTr="00D3767E">
        <w:trPr>
          <w:jc w:val="center"/>
        </w:trPr>
        <w:tc>
          <w:tcPr>
            <w:tcW w:w="654" w:type="dxa"/>
          </w:tcPr>
          <w:p w14:paraId="1B8659DE" w14:textId="0B256ABC"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Case #</w:t>
            </w:r>
          </w:p>
        </w:tc>
        <w:tc>
          <w:tcPr>
            <w:tcW w:w="1516" w:type="dxa"/>
          </w:tcPr>
          <w:p w14:paraId="0C3263D5" w14:textId="357C75C8"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Cases</w:t>
            </w:r>
          </w:p>
        </w:tc>
        <w:tc>
          <w:tcPr>
            <w:tcW w:w="1515" w:type="dxa"/>
          </w:tcPr>
          <w:p w14:paraId="042C8F1D" w14:textId="02BF3813"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GAN-CRNN (Min)</w:t>
            </w:r>
          </w:p>
        </w:tc>
        <w:tc>
          <w:tcPr>
            <w:tcW w:w="1530" w:type="dxa"/>
          </w:tcPr>
          <w:p w14:paraId="3C7B0FDF" w14:textId="7CD6F023"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GAN-CRNN (Max)</w:t>
            </w:r>
          </w:p>
        </w:tc>
        <w:tc>
          <w:tcPr>
            <w:tcW w:w="1530" w:type="dxa"/>
          </w:tcPr>
          <w:p w14:paraId="581CAAAA" w14:textId="5CC77A9B"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 xml:space="preserve">GAN-CRNN </w:t>
            </w:r>
            <w:proofErr w:type="spellStart"/>
            <w:r w:rsidRPr="00C87A6C">
              <w:rPr>
                <w:rFonts w:ascii="Garamond" w:hAnsi="Garamond"/>
                <w:sz w:val="24"/>
                <w:szCs w:val="24"/>
              </w:rPr>
              <w:t>Bilstm</w:t>
            </w:r>
            <w:proofErr w:type="spellEnd"/>
          </w:p>
        </w:tc>
        <w:tc>
          <w:tcPr>
            <w:tcW w:w="1392" w:type="dxa"/>
          </w:tcPr>
          <w:p w14:paraId="5ECC0EA0" w14:textId="6BB781DE"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GAN-Transformer</w:t>
            </w:r>
          </w:p>
        </w:tc>
      </w:tr>
      <w:tr w:rsidR="00D3767E" w:rsidRPr="00C87A6C" w14:paraId="74AFCDD1" w14:textId="77777777" w:rsidTr="00D3767E">
        <w:trPr>
          <w:jc w:val="center"/>
        </w:trPr>
        <w:tc>
          <w:tcPr>
            <w:tcW w:w="654" w:type="dxa"/>
          </w:tcPr>
          <w:p w14:paraId="7A95FF2B" w14:textId="79FE219F"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1</w:t>
            </w:r>
          </w:p>
        </w:tc>
        <w:tc>
          <w:tcPr>
            <w:tcW w:w="1516" w:type="dxa"/>
          </w:tcPr>
          <w:p w14:paraId="676B0CBB" w14:textId="255CDA42" w:rsidR="00D3767E" w:rsidRPr="00C87A6C" w:rsidRDefault="00D3767E" w:rsidP="00D3767E">
            <w:pPr>
              <w:pStyle w:val="ListParagraph"/>
              <w:ind w:left="0"/>
              <w:jc w:val="both"/>
              <w:rPr>
                <w:rFonts w:ascii="Garamond" w:hAnsi="Garamond"/>
                <w:sz w:val="24"/>
                <w:szCs w:val="24"/>
              </w:rPr>
            </w:pPr>
            <w:proofErr w:type="spellStart"/>
            <w:r w:rsidRPr="00C87A6C">
              <w:rPr>
                <w:rFonts w:ascii="Garamond" w:hAnsi="Garamond"/>
                <w:sz w:val="24"/>
                <w:szCs w:val="24"/>
              </w:rPr>
              <w:t>left_arm</w:t>
            </w:r>
            <w:proofErr w:type="spellEnd"/>
          </w:p>
        </w:tc>
        <w:tc>
          <w:tcPr>
            <w:tcW w:w="1515" w:type="dxa"/>
          </w:tcPr>
          <w:p w14:paraId="10D4425F" w14:textId="762DD570"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0.55</w:t>
            </w:r>
          </w:p>
        </w:tc>
        <w:tc>
          <w:tcPr>
            <w:tcW w:w="1530" w:type="dxa"/>
          </w:tcPr>
          <w:p w14:paraId="3A02E139" w14:textId="5762241F"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0.6</w:t>
            </w:r>
          </w:p>
        </w:tc>
        <w:tc>
          <w:tcPr>
            <w:tcW w:w="1530" w:type="dxa"/>
          </w:tcPr>
          <w:p w14:paraId="1B870FB7" w14:textId="6B108B9B"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0.752667</w:t>
            </w:r>
          </w:p>
        </w:tc>
        <w:tc>
          <w:tcPr>
            <w:tcW w:w="1392" w:type="dxa"/>
          </w:tcPr>
          <w:p w14:paraId="2772A850" w14:textId="74C8AB0C"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0.775511</w:t>
            </w:r>
          </w:p>
        </w:tc>
      </w:tr>
      <w:tr w:rsidR="00D3767E" w:rsidRPr="00C87A6C" w14:paraId="5B7D42B3" w14:textId="77777777" w:rsidTr="00D3767E">
        <w:trPr>
          <w:jc w:val="center"/>
        </w:trPr>
        <w:tc>
          <w:tcPr>
            <w:tcW w:w="654" w:type="dxa"/>
          </w:tcPr>
          <w:p w14:paraId="1777B314" w14:textId="5156E15F"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2</w:t>
            </w:r>
          </w:p>
        </w:tc>
        <w:tc>
          <w:tcPr>
            <w:tcW w:w="1516" w:type="dxa"/>
          </w:tcPr>
          <w:p w14:paraId="661DCC52" w14:textId="0D10D6A7" w:rsidR="00D3767E" w:rsidRPr="00C87A6C" w:rsidRDefault="00D3767E" w:rsidP="00D3767E">
            <w:pPr>
              <w:pStyle w:val="ListParagraph"/>
              <w:ind w:left="0"/>
              <w:jc w:val="both"/>
              <w:rPr>
                <w:rFonts w:ascii="Garamond" w:hAnsi="Garamond"/>
                <w:sz w:val="24"/>
                <w:szCs w:val="24"/>
              </w:rPr>
            </w:pPr>
            <w:proofErr w:type="spellStart"/>
            <w:r w:rsidRPr="00C87A6C">
              <w:rPr>
                <w:rFonts w:ascii="Garamond" w:hAnsi="Garamond"/>
                <w:sz w:val="24"/>
                <w:szCs w:val="24"/>
              </w:rPr>
              <w:t>right_arm</w:t>
            </w:r>
            <w:proofErr w:type="spellEnd"/>
          </w:p>
        </w:tc>
        <w:tc>
          <w:tcPr>
            <w:tcW w:w="1515" w:type="dxa"/>
          </w:tcPr>
          <w:p w14:paraId="20345FA0" w14:textId="5A076FAD"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0.56</w:t>
            </w:r>
          </w:p>
        </w:tc>
        <w:tc>
          <w:tcPr>
            <w:tcW w:w="1530" w:type="dxa"/>
          </w:tcPr>
          <w:p w14:paraId="14453DF1" w14:textId="6A5423BA"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0.6</w:t>
            </w:r>
          </w:p>
        </w:tc>
        <w:tc>
          <w:tcPr>
            <w:tcW w:w="1530" w:type="dxa"/>
          </w:tcPr>
          <w:p w14:paraId="3F65FE99" w14:textId="38EB7548"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0.76263</w:t>
            </w:r>
          </w:p>
        </w:tc>
        <w:tc>
          <w:tcPr>
            <w:tcW w:w="1392" w:type="dxa"/>
          </w:tcPr>
          <w:p w14:paraId="46E50853" w14:textId="3BFF1569"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0.757655</w:t>
            </w:r>
          </w:p>
        </w:tc>
      </w:tr>
      <w:tr w:rsidR="00D3767E" w:rsidRPr="00C87A6C" w14:paraId="10969B4D" w14:textId="77777777" w:rsidTr="00D3767E">
        <w:trPr>
          <w:jc w:val="center"/>
        </w:trPr>
        <w:tc>
          <w:tcPr>
            <w:tcW w:w="654" w:type="dxa"/>
          </w:tcPr>
          <w:p w14:paraId="6F74B21A" w14:textId="43E53735"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3</w:t>
            </w:r>
          </w:p>
        </w:tc>
        <w:tc>
          <w:tcPr>
            <w:tcW w:w="1516" w:type="dxa"/>
          </w:tcPr>
          <w:p w14:paraId="6AE190EB" w14:textId="4B83D2D5" w:rsidR="00D3767E" w:rsidRPr="00C87A6C" w:rsidRDefault="00D3767E" w:rsidP="00D3767E">
            <w:pPr>
              <w:pStyle w:val="ListParagraph"/>
              <w:ind w:left="0"/>
              <w:jc w:val="both"/>
              <w:rPr>
                <w:rFonts w:ascii="Garamond" w:hAnsi="Garamond"/>
                <w:sz w:val="24"/>
                <w:szCs w:val="24"/>
              </w:rPr>
            </w:pPr>
            <w:proofErr w:type="spellStart"/>
            <w:r w:rsidRPr="00C87A6C">
              <w:rPr>
                <w:rFonts w:ascii="Garamond" w:hAnsi="Garamond"/>
                <w:sz w:val="24"/>
                <w:szCs w:val="24"/>
              </w:rPr>
              <w:t>both_arms</w:t>
            </w:r>
            <w:proofErr w:type="spellEnd"/>
          </w:p>
        </w:tc>
        <w:tc>
          <w:tcPr>
            <w:tcW w:w="1515" w:type="dxa"/>
          </w:tcPr>
          <w:p w14:paraId="6A8182C7" w14:textId="1B3C0268"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0.5</w:t>
            </w:r>
          </w:p>
        </w:tc>
        <w:tc>
          <w:tcPr>
            <w:tcW w:w="1530" w:type="dxa"/>
          </w:tcPr>
          <w:p w14:paraId="0582EC6E" w14:textId="68351F21"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0.55</w:t>
            </w:r>
          </w:p>
        </w:tc>
        <w:tc>
          <w:tcPr>
            <w:tcW w:w="1530" w:type="dxa"/>
          </w:tcPr>
          <w:p w14:paraId="0AB4ED2A" w14:textId="58F81C8A"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0.762401</w:t>
            </w:r>
          </w:p>
        </w:tc>
        <w:tc>
          <w:tcPr>
            <w:tcW w:w="1392" w:type="dxa"/>
          </w:tcPr>
          <w:p w14:paraId="59FB1662" w14:textId="416BB505"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0.774202</w:t>
            </w:r>
          </w:p>
        </w:tc>
      </w:tr>
      <w:tr w:rsidR="00D3767E" w:rsidRPr="00C87A6C" w14:paraId="3C10D809" w14:textId="77777777" w:rsidTr="00D3767E">
        <w:trPr>
          <w:jc w:val="center"/>
        </w:trPr>
        <w:tc>
          <w:tcPr>
            <w:tcW w:w="654" w:type="dxa"/>
          </w:tcPr>
          <w:p w14:paraId="7CD08973" w14:textId="5C0C6751"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4</w:t>
            </w:r>
          </w:p>
        </w:tc>
        <w:tc>
          <w:tcPr>
            <w:tcW w:w="1516" w:type="dxa"/>
          </w:tcPr>
          <w:p w14:paraId="6735EE9F" w14:textId="62E47AD8" w:rsidR="00D3767E" w:rsidRPr="00C87A6C" w:rsidRDefault="00D3767E" w:rsidP="00D3767E">
            <w:pPr>
              <w:pStyle w:val="ListParagraph"/>
              <w:ind w:left="0"/>
              <w:jc w:val="both"/>
              <w:rPr>
                <w:rFonts w:ascii="Garamond" w:hAnsi="Garamond"/>
                <w:sz w:val="24"/>
                <w:szCs w:val="24"/>
              </w:rPr>
            </w:pPr>
            <w:proofErr w:type="spellStart"/>
            <w:r w:rsidRPr="00C87A6C">
              <w:rPr>
                <w:rFonts w:ascii="Garamond" w:hAnsi="Garamond"/>
                <w:sz w:val="24"/>
                <w:szCs w:val="24"/>
              </w:rPr>
              <w:t>left_leg</w:t>
            </w:r>
            <w:proofErr w:type="spellEnd"/>
          </w:p>
        </w:tc>
        <w:tc>
          <w:tcPr>
            <w:tcW w:w="1515" w:type="dxa"/>
          </w:tcPr>
          <w:p w14:paraId="1B102EB1" w14:textId="7249AA4D"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0.72</w:t>
            </w:r>
          </w:p>
        </w:tc>
        <w:tc>
          <w:tcPr>
            <w:tcW w:w="1530" w:type="dxa"/>
          </w:tcPr>
          <w:p w14:paraId="56DC097A" w14:textId="0F173327"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0.75</w:t>
            </w:r>
          </w:p>
        </w:tc>
        <w:tc>
          <w:tcPr>
            <w:tcW w:w="1530" w:type="dxa"/>
          </w:tcPr>
          <w:p w14:paraId="52646A9B" w14:textId="0812174B"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0.765555</w:t>
            </w:r>
          </w:p>
        </w:tc>
        <w:tc>
          <w:tcPr>
            <w:tcW w:w="1392" w:type="dxa"/>
          </w:tcPr>
          <w:p w14:paraId="715A9B9D" w14:textId="39144D99"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0.790305</w:t>
            </w:r>
          </w:p>
        </w:tc>
      </w:tr>
      <w:tr w:rsidR="00D3767E" w:rsidRPr="00C87A6C" w14:paraId="6EBD3874" w14:textId="77777777" w:rsidTr="00D3767E">
        <w:trPr>
          <w:jc w:val="center"/>
        </w:trPr>
        <w:tc>
          <w:tcPr>
            <w:tcW w:w="654" w:type="dxa"/>
          </w:tcPr>
          <w:p w14:paraId="6D3CB0CD" w14:textId="5AF1A6A5"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5</w:t>
            </w:r>
          </w:p>
        </w:tc>
        <w:tc>
          <w:tcPr>
            <w:tcW w:w="1516" w:type="dxa"/>
          </w:tcPr>
          <w:p w14:paraId="4C579904" w14:textId="0392ED66" w:rsidR="00D3767E" w:rsidRPr="00C87A6C" w:rsidRDefault="00D3767E" w:rsidP="00D3767E">
            <w:pPr>
              <w:pStyle w:val="ListParagraph"/>
              <w:ind w:left="0"/>
              <w:jc w:val="both"/>
              <w:rPr>
                <w:rFonts w:ascii="Garamond" w:hAnsi="Garamond"/>
                <w:sz w:val="24"/>
                <w:szCs w:val="24"/>
              </w:rPr>
            </w:pPr>
            <w:proofErr w:type="spellStart"/>
            <w:r w:rsidRPr="00C87A6C">
              <w:rPr>
                <w:rFonts w:ascii="Garamond" w:hAnsi="Garamond"/>
                <w:sz w:val="24"/>
                <w:szCs w:val="24"/>
              </w:rPr>
              <w:t>right_leg</w:t>
            </w:r>
            <w:proofErr w:type="spellEnd"/>
          </w:p>
        </w:tc>
        <w:tc>
          <w:tcPr>
            <w:tcW w:w="1515" w:type="dxa"/>
          </w:tcPr>
          <w:p w14:paraId="579601B3" w14:textId="36AA1349"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0.64</w:t>
            </w:r>
          </w:p>
        </w:tc>
        <w:tc>
          <w:tcPr>
            <w:tcW w:w="1530" w:type="dxa"/>
          </w:tcPr>
          <w:p w14:paraId="30CC024D" w14:textId="35B297F5"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w:t>
            </w:r>
          </w:p>
        </w:tc>
        <w:tc>
          <w:tcPr>
            <w:tcW w:w="1530" w:type="dxa"/>
          </w:tcPr>
          <w:p w14:paraId="1D810862" w14:textId="1F7C73F0"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0.771065</w:t>
            </w:r>
          </w:p>
        </w:tc>
        <w:tc>
          <w:tcPr>
            <w:tcW w:w="1392" w:type="dxa"/>
          </w:tcPr>
          <w:p w14:paraId="7A2B6B38" w14:textId="0478812D"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0.786622</w:t>
            </w:r>
          </w:p>
        </w:tc>
      </w:tr>
      <w:tr w:rsidR="00D3767E" w:rsidRPr="00C87A6C" w14:paraId="6E5ACDB3" w14:textId="77777777" w:rsidTr="00D3767E">
        <w:trPr>
          <w:jc w:val="center"/>
        </w:trPr>
        <w:tc>
          <w:tcPr>
            <w:tcW w:w="654" w:type="dxa"/>
          </w:tcPr>
          <w:p w14:paraId="6C2BB6BE" w14:textId="1E005DA9"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6</w:t>
            </w:r>
          </w:p>
        </w:tc>
        <w:tc>
          <w:tcPr>
            <w:tcW w:w="1516" w:type="dxa"/>
          </w:tcPr>
          <w:p w14:paraId="640E99EC" w14:textId="0F15ECB9" w:rsidR="00D3767E" w:rsidRPr="00C87A6C" w:rsidRDefault="00D3767E" w:rsidP="00D3767E">
            <w:pPr>
              <w:pStyle w:val="ListParagraph"/>
              <w:ind w:left="0"/>
              <w:jc w:val="both"/>
              <w:rPr>
                <w:rFonts w:ascii="Garamond" w:hAnsi="Garamond"/>
                <w:sz w:val="24"/>
                <w:szCs w:val="24"/>
              </w:rPr>
            </w:pPr>
            <w:proofErr w:type="spellStart"/>
            <w:r w:rsidRPr="00C87A6C">
              <w:rPr>
                <w:rFonts w:ascii="Garamond" w:hAnsi="Garamond"/>
                <w:sz w:val="24"/>
                <w:szCs w:val="24"/>
              </w:rPr>
              <w:t>both_legs</w:t>
            </w:r>
            <w:proofErr w:type="spellEnd"/>
          </w:p>
        </w:tc>
        <w:tc>
          <w:tcPr>
            <w:tcW w:w="1515" w:type="dxa"/>
          </w:tcPr>
          <w:p w14:paraId="1F33D92A" w14:textId="57271DE4"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0.74</w:t>
            </w:r>
          </w:p>
        </w:tc>
        <w:tc>
          <w:tcPr>
            <w:tcW w:w="1530" w:type="dxa"/>
          </w:tcPr>
          <w:p w14:paraId="231EDF59" w14:textId="12B2A5DF"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0.8</w:t>
            </w:r>
          </w:p>
        </w:tc>
        <w:tc>
          <w:tcPr>
            <w:tcW w:w="1530" w:type="dxa"/>
          </w:tcPr>
          <w:p w14:paraId="726B30EC" w14:textId="6A922105"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0.765883</w:t>
            </w:r>
          </w:p>
        </w:tc>
        <w:tc>
          <w:tcPr>
            <w:tcW w:w="1392" w:type="dxa"/>
          </w:tcPr>
          <w:p w14:paraId="1540B48A" w14:textId="0309A1D3"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0.775159</w:t>
            </w:r>
          </w:p>
        </w:tc>
      </w:tr>
      <w:tr w:rsidR="00D3767E" w:rsidRPr="00C87A6C" w14:paraId="441CB2B4" w14:textId="77777777" w:rsidTr="00D3767E">
        <w:trPr>
          <w:jc w:val="center"/>
        </w:trPr>
        <w:tc>
          <w:tcPr>
            <w:tcW w:w="654" w:type="dxa"/>
          </w:tcPr>
          <w:p w14:paraId="2C923561" w14:textId="2391C970"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7</w:t>
            </w:r>
          </w:p>
        </w:tc>
        <w:tc>
          <w:tcPr>
            <w:tcW w:w="1516" w:type="dxa"/>
          </w:tcPr>
          <w:p w14:paraId="00168CB4" w14:textId="2AE9807E" w:rsidR="00D3767E" w:rsidRPr="00C87A6C" w:rsidRDefault="00D3767E" w:rsidP="00D3767E">
            <w:pPr>
              <w:pStyle w:val="ListParagraph"/>
              <w:ind w:left="0"/>
              <w:jc w:val="both"/>
              <w:rPr>
                <w:rFonts w:ascii="Garamond" w:hAnsi="Garamond"/>
                <w:sz w:val="24"/>
                <w:szCs w:val="24"/>
              </w:rPr>
            </w:pPr>
            <w:proofErr w:type="spellStart"/>
            <w:r w:rsidRPr="00C87A6C">
              <w:rPr>
                <w:rFonts w:ascii="Garamond" w:hAnsi="Garamond"/>
                <w:sz w:val="24"/>
                <w:szCs w:val="24"/>
              </w:rPr>
              <w:t>left_arm_leg</w:t>
            </w:r>
            <w:proofErr w:type="spellEnd"/>
          </w:p>
        </w:tc>
        <w:tc>
          <w:tcPr>
            <w:tcW w:w="1515" w:type="dxa"/>
          </w:tcPr>
          <w:p w14:paraId="7C208D49" w14:textId="5AF33218"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0.51</w:t>
            </w:r>
          </w:p>
        </w:tc>
        <w:tc>
          <w:tcPr>
            <w:tcW w:w="1530" w:type="dxa"/>
          </w:tcPr>
          <w:p w14:paraId="07D916B2" w14:textId="3ED5B822"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0.55</w:t>
            </w:r>
          </w:p>
        </w:tc>
        <w:tc>
          <w:tcPr>
            <w:tcW w:w="1530" w:type="dxa"/>
          </w:tcPr>
          <w:p w14:paraId="2E485E71" w14:textId="2805BC08"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0.760265</w:t>
            </w:r>
          </w:p>
        </w:tc>
        <w:tc>
          <w:tcPr>
            <w:tcW w:w="1392" w:type="dxa"/>
          </w:tcPr>
          <w:p w14:paraId="295BDC3C" w14:textId="7F0B43E9"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0.788886</w:t>
            </w:r>
          </w:p>
        </w:tc>
      </w:tr>
      <w:tr w:rsidR="00D3767E" w:rsidRPr="00C87A6C" w14:paraId="7954F528" w14:textId="77777777" w:rsidTr="00D3767E">
        <w:trPr>
          <w:jc w:val="center"/>
        </w:trPr>
        <w:tc>
          <w:tcPr>
            <w:tcW w:w="654" w:type="dxa"/>
          </w:tcPr>
          <w:p w14:paraId="1C00731E" w14:textId="6E394D02"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8</w:t>
            </w:r>
          </w:p>
        </w:tc>
        <w:tc>
          <w:tcPr>
            <w:tcW w:w="1516" w:type="dxa"/>
          </w:tcPr>
          <w:p w14:paraId="584D0390" w14:textId="274C403C" w:rsidR="00D3767E" w:rsidRPr="00C87A6C" w:rsidRDefault="00D3767E" w:rsidP="00D3767E">
            <w:pPr>
              <w:pStyle w:val="ListParagraph"/>
              <w:ind w:left="0"/>
              <w:jc w:val="both"/>
              <w:rPr>
                <w:rFonts w:ascii="Garamond" w:hAnsi="Garamond"/>
                <w:sz w:val="24"/>
                <w:szCs w:val="24"/>
              </w:rPr>
            </w:pPr>
            <w:proofErr w:type="spellStart"/>
            <w:r w:rsidRPr="00C87A6C">
              <w:rPr>
                <w:rFonts w:ascii="Garamond" w:hAnsi="Garamond"/>
                <w:sz w:val="24"/>
                <w:szCs w:val="24"/>
              </w:rPr>
              <w:t>right_arm_leg</w:t>
            </w:r>
            <w:proofErr w:type="spellEnd"/>
          </w:p>
        </w:tc>
        <w:tc>
          <w:tcPr>
            <w:tcW w:w="1515" w:type="dxa"/>
          </w:tcPr>
          <w:p w14:paraId="1D8E97F6" w14:textId="3349170A"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0.66</w:t>
            </w:r>
          </w:p>
        </w:tc>
        <w:tc>
          <w:tcPr>
            <w:tcW w:w="1530" w:type="dxa"/>
          </w:tcPr>
          <w:p w14:paraId="02687A62" w14:textId="16059AED"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w:t>
            </w:r>
          </w:p>
        </w:tc>
        <w:tc>
          <w:tcPr>
            <w:tcW w:w="1530" w:type="dxa"/>
          </w:tcPr>
          <w:p w14:paraId="7D2BB60C" w14:textId="701523BA"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0.765261</w:t>
            </w:r>
          </w:p>
        </w:tc>
        <w:tc>
          <w:tcPr>
            <w:tcW w:w="1392" w:type="dxa"/>
          </w:tcPr>
          <w:p w14:paraId="10F3F043" w14:textId="76088829" w:rsidR="00D3767E" w:rsidRPr="00C87A6C" w:rsidRDefault="00D3767E" w:rsidP="00D3767E">
            <w:pPr>
              <w:pStyle w:val="ListParagraph"/>
              <w:ind w:left="0"/>
              <w:jc w:val="center"/>
              <w:rPr>
                <w:rFonts w:ascii="Garamond" w:hAnsi="Garamond"/>
                <w:sz w:val="24"/>
                <w:szCs w:val="24"/>
              </w:rPr>
            </w:pPr>
            <w:r w:rsidRPr="00C87A6C">
              <w:rPr>
                <w:rFonts w:ascii="Garamond" w:hAnsi="Garamond"/>
                <w:sz w:val="24"/>
                <w:szCs w:val="24"/>
              </w:rPr>
              <w:t>0.769029</w:t>
            </w:r>
          </w:p>
        </w:tc>
      </w:tr>
    </w:tbl>
    <w:p w14:paraId="08CE0717" w14:textId="1FD35BB5" w:rsidR="00015737" w:rsidRPr="00C87A6C" w:rsidRDefault="00015737" w:rsidP="00470529">
      <w:pPr>
        <w:spacing w:after="0" w:line="240" w:lineRule="auto"/>
        <w:ind w:firstLine="720"/>
        <w:jc w:val="both"/>
        <w:rPr>
          <w:rFonts w:ascii="Garamond" w:hAnsi="Garamond"/>
          <w:sz w:val="24"/>
          <w:szCs w:val="24"/>
        </w:rPr>
      </w:pPr>
      <w:r w:rsidRPr="00C87A6C">
        <w:rPr>
          <w:rFonts w:ascii="Garamond" w:hAnsi="Garamond"/>
          <w:sz w:val="24"/>
          <w:szCs w:val="24"/>
        </w:rPr>
        <w:t>The reconstruction of skeletons from both proposed models have shown visually from Fig</w:t>
      </w:r>
      <w:r w:rsidR="008A629E" w:rsidRPr="00C87A6C">
        <w:rPr>
          <w:rFonts w:ascii="Garamond" w:hAnsi="Garamond"/>
          <w:sz w:val="24"/>
          <w:szCs w:val="24"/>
        </w:rPr>
        <w:t>ure</w:t>
      </w:r>
      <w:r w:rsidRPr="00C87A6C">
        <w:rPr>
          <w:rFonts w:ascii="Garamond" w:hAnsi="Garamond"/>
          <w:sz w:val="24"/>
          <w:szCs w:val="24"/>
        </w:rPr>
        <w:t>. 4 to Fig</w:t>
      </w:r>
      <w:r w:rsidR="008A629E" w:rsidRPr="00C87A6C">
        <w:rPr>
          <w:rFonts w:ascii="Garamond" w:hAnsi="Garamond"/>
          <w:sz w:val="24"/>
          <w:szCs w:val="24"/>
        </w:rPr>
        <w:t>ure</w:t>
      </w:r>
      <w:r w:rsidRPr="00C87A6C">
        <w:rPr>
          <w:rFonts w:ascii="Garamond" w:hAnsi="Garamond"/>
          <w:sz w:val="24"/>
          <w:szCs w:val="24"/>
        </w:rPr>
        <w:t xml:space="preserve">. 9. In these figures, each figure has three skeleton images, in which left one skeleton image is from real dataset, second skeleton image is of occluded skeleton which we have manually occluded in the data preprocessing step, while third and the last skeleton image is the generated one which was generated by GAN models. From </w:t>
      </w:r>
      <w:r w:rsidR="00CC5840" w:rsidRPr="00C87A6C">
        <w:rPr>
          <w:rFonts w:ascii="Garamond" w:hAnsi="Garamond"/>
          <w:sz w:val="24"/>
          <w:szCs w:val="24"/>
        </w:rPr>
        <w:t>F</w:t>
      </w:r>
      <w:r w:rsidRPr="00C87A6C">
        <w:rPr>
          <w:rFonts w:ascii="Garamond" w:hAnsi="Garamond"/>
          <w:sz w:val="24"/>
          <w:szCs w:val="24"/>
        </w:rPr>
        <w:t>ig. 4 to Fig. 6, skeletons were generated by the CRNN-</w:t>
      </w:r>
      <w:proofErr w:type="spellStart"/>
      <w:r w:rsidRPr="00C87A6C">
        <w:rPr>
          <w:rFonts w:ascii="Garamond" w:hAnsi="Garamond"/>
          <w:sz w:val="24"/>
          <w:szCs w:val="24"/>
        </w:rPr>
        <w:t>BiLSTM</w:t>
      </w:r>
      <w:proofErr w:type="spellEnd"/>
      <w:r w:rsidR="00CC5840" w:rsidRPr="00C87A6C">
        <w:rPr>
          <w:rFonts w:ascii="Garamond" w:hAnsi="Garamond"/>
          <w:sz w:val="24"/>
          <w:szCs w:val="24"/>
        </w:rPr>
        <w:t>-</w:t>
      </w:r>
      <w:r w:rsidRPr="00C87A6C">
        <w:rPr>
          <w:rFonts w:ascii="Garamond" w:hAnsi="Garamond"/>
          <w:sz w:val="24"/>
          <w:szCs w:val="24"/>
        </w:rPr>
        <w:t>based GAN model</w:t>
      </w:r>
      <w:r w:rsidR="00CC5840" w:rsidRPr="00C87A6C">
        <w:rPr>
          <w:rFonts w:ascii="Garamond" w:hAnsi="Garamond"/>
          <w:sz w:val="24"/>
          <w:szCs w:val="24"/>
        </w:rPr>
        <w:t>,</w:t>
      </w:r>
      <w:r w:rsidRPr="00C87A6C">
        <w:rPr>
          <w:rFonts w:ascii="Garamond" w:hAnsi="Garamond"/>
          <w:sz w:val="24"/>
          <w:szCs w:val="24"/>
        </w:rPr>
        <w:t xml:space="preserve"> while from Fig. 7 to Fig. 9, skeletons were generated by the TRANSFORMER</w:t>
      </w:r>
      <w:r w:rsidR="00CC5840" w:rsidRPr="00C87A6C">
        <w:rPr>
          <w:rFonts w:ascii="Garamond" w:hAnsi="Garamond"/>
          <w:sz w:val="24"/>
          <w:szCs w:val="24"/>
        </w:rPr>
        <w:t>-</w:t>
      </w:r>
      <w:r w:rsidRPr="00C87A6C">
        <w:rPr>
          <w:rFonts w:ascii="Garamond" w:hAnsi="Garamond"/>
          <w:sz w:val="24"/>
          <w:szCs w:val="24"/>
        </w:rPr>
        <w:t xml:space="preserve">based GAN model. </w:t>
      </w:r>
    </w:p>
    <w:p w14:paraId="647E9258" w14:textId="66C124F7" w:rsidR="00470529" w:rsidRPr="00C87A6C" w:rsidRDefault="00470529" w:rsidP="00D3767E">
      <w:pPr>
        <w:spacing w:after="0" w:line="240" w:lineRule="auto"/>
        <w:jc w:val="center"/>
        <w:rPr>
          <w:rFonts w:ascii="Garamond" w:hAnsi="Garamond"/>
          <w:b/>
          <w:sz w:val="24"/>
          <w:szCs w:val="24"/>
        </w:rPr>
      </w:pPr>
      <w:r w:rsidRPr="00C87A6C">
        <w:rPr>
          <w:rFonts w:ascii="Garamond" w:hAnsi="Garamond"/>
          <w:noProof/>
          <w:sz w:val="24"/>
          <w:szCs w:val="24"/>
        </w:rPr>
        <w:drawing>
          <wp:inline distT="0" distB="0" distL="0" distR="0" wp14:anchorId="1AB40042" wp14:editId="09673B01">
            <wp:extent cx="4731788" cy="1924050"/>
            <wp:effectExtent l="0" t="0" r="0" b="0"/>
            <wp:docPr id="452840236" name="Content Placeholder 4">
              <a:extLst xmlns:a="http://schemas.openxmlformats.org/drawingml/2006/main">
                <a:ext uri="{FF2B5EF4-FFF2-40B4-BE49-F238E27FC236}">
                  <a16:creationId xmlns:a16="http://schemas.microsoft.com/office/drawing/2014/main" id="{27263011-223D-67FE-DA24-6C62BEC58D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7263011-223D-67FE-DA24-6C62BEC58D10}"/>
                        </a:ext>
                      </a:extLst>
                    </pic:cNvPr>
                    <pic:cNvPicPr>
                      <a:picLocks noGrp="1" noChangeAspect="1"/>
                    </pic:cNvPicPr>
                  </pic:nvPicPr>
                  <pic:blipFill rotWithShape="1">
                    <a:blip r:embed="rId31" cstate="print">
                      <a:extLst>
                        <a:ext uri="{28A0092B-C50C-407E-A947-70E740481C1C}">
                          <a14:useLocalDpi xmlns:a14="http://schemas.microsoft.com/office/drawing/2010/main" val="0"/>
                        </a:ext>
                      </a:extLst>
                    </a:blip>
                    <a:srcRect l="4668" r="4481" b="2534"/>
                    <a:stretch>
                      <a:fillRect/>
                    </a:stretch>
                  </pic:blipFill>
                  <pic:spPr bwMode="auto">
                    <a:xfrm>
                      <a:off x="0" y="0"/>
                      <a:ext cx="4761584" cy="1936166"/>
                    </a:xfrm>
                    <a:prstGeom prst="rect">
                      <a:avLst/>
                    </a:prstGeom>
                    <a:ln>
                      <a:noFill/>
                    </a:ln>
                    <a:extLst>
                      <a:ext uri="{53640926-AAD7-44D8-BBD7-CCE9431645EC}">
                        <a14:shadowObscured xmlns:a14="http://schemas.microsoft.com/office/drawing/2010/main"/>
                      </a:ext>
                    </a:extLst>
                  </pic:spPr>
                </pic:pic>
              </a:graphicData>
            </a:graphic>
          </wp:inline>
        </w:drawing>
      </w:r>
    </w:p>
    <w:p w14:paraId="62F2BBD8" w14:textId="5FDE0BFB" w:rsidR="00015737" w:rsidRPr="00C87A6C" w:rsidRDefault="00015737" w:rsidP="00D3767E">
      <w:pPr>
        <w:spacing w:after="0" w:line="240" w:lineRule="auto"/>
        <w:jc w:val="center"/>
        <w:rPr>
          <w:rFonts w:ascii="Garamond" w:hAnsi="Garamond"/>
          <w:sz w:val="24"/>
          <w:szCs w:val="24"/>
        </w:rPr>
      </w:pPr>
      <w:r w:rsidRPr="00C87A6C">
        <w:rPr>
          <w:rFonts w:ascii="Garamond" w:hAnsi="Garamond"/>
          <w:b/>
          <w:sz w:val="24"/>
          <w:szCs w:val="24"/>
        </w:rPr>
        <w:t xml:space="preserve">Figure 4. </w:t>
      </w:r>
      <w:r w:rsidRPr="00C87A6C">
        <w:rPr>
          <w:rFonts w:ascii="Garamond" w:hAnsi="Garamond"/>
          <w:sz w:val="24"/>
          <w:szCs w:val="24"/>
        </w:rPr>
        <w:t>CRNN Reconstruction: Left Leg</w:t>
      </w:r>
    </w:p>
    <w:p w14:paraId="1D48730B" w14:textId="77777777" w:rsidR="00015737" w:rsidRPr="00C87A6C" w:rsidRDefault="00015737" w:rsidP="00D3767E">
      <w:pPr>
        <w:spacing w:after="0" w:line="240" w:lineRule="auto"/>
        <w:jc w:val="center"/>
        <w:rPr>
          <w:rFonts w:ascii="Garamond" w:hAnsi="Garamond"/>
          <w:sz w:val="24"/>
          <w:szCs w:val="24"/>
        </w:rPr>
      </w:pPr>
      <w:r w:rsidRPr="00C87A6C">
        <w:rPr>
          <w:rFonts w:ascii="Garamond" w:hAnsi="Garamond"/>
          <w:noProof/>
          <w:sz w:val="24"/>
          <w:szCs w:val="24"/>
        </w:rPr>
        <w:drawing>
          <wp:inline distT="0" distB="0" distL="0" distR="0" wp14:anchorId="7A1BF53D" wp14:editId="6E91CD57">
            <wp:extent cx="4620406" cy="1762125"/>
            <wp:effectExtent l="0" t="0" r="8890" b="0"/>
            <wp:docPr id="617513570" name="Content Placeholder 4">
              <a:extLst xmlns:a="http://schemas.openxmlformats.org/drawingml/2006/main">
                <a:ext uri="{FF2B5EF4-FFF2-40B4-BE49-F238E27FC236}">
                  <a16:creationId xmlns:a16="http://schemas.microsoft.com/office/drawing/2014/main" id="{CEED1260-CACA-9672-E801-92EBF1BE98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EED1260-CACA-9672-E801-92EBF1BE989B}"/>
                        </a:ext>
                      </a:extLst>
                    </pic:cNvPr>
                    <pic:cNvPicPr>
                      <a:picLocks noGrp="1" noChangeAspect="1"/>
                    </pic:cNvPicPr>
                  </pic:nvPicPr>
                  <pic:blipFill rotWithShape="1">
                    <a:blip r:embed="rId32"/>
                    <a:srcRect l="2745" t="1749" r="3020" b="2065"/>
                    <a:stretch>
                      <a:fillRect/>
                    </a:stretch>
                  </pic:blipFill>
                  <pic:spPr bwMode="auto">
                    <a:xfrm>
                      <a:off x="0" y="0"/>
                      <a:ext cx="4659402" cy="1776997"/>
                    </a:xfrm>
                    <a:prstGeom prst="rect">
                      <a:avLst/>
                    </a:prstGeom>
                    <a:ln>
                      <a:noFill/>
                    </a:ln>
                    <a:extLst>
                      <a:ext uri="{53640926-AAD7-44D8-BBD7-CCE9431645EC}">
                        <a14:shadowObscured xmlns:a14="http://schemas.microsoft.com/office/drawing/2010/main"/>
                      </a:ext>
                    </a:extLst>
                  </pic:spPr>
                </pic:pic>
              </a:graphicData>
            </a:graphic>
          </wp:inline>
        </w:drawing>
      </w:r>
    </w:p>
    <w:p w14:paraId="7F722590" w14:textId="27A82F63" w:rsidR="00015737" w:rsidRPr="00C87A6C" w:rsidRDefault="00015737" w:rsidP="00D3767E">
      <w:pPr>
        <w:spacing w:after="0" w:line="240" w:lineRule="auto"/>
        <w:jc w:val="center"/>
        <w:rPr>
          <w:rFonts w:ascii="Garamond" w:hAnsi="Garamond"/>
          <w:sz w:val="24"/>
          <w:szCs w:val="24"/>
        </w:rPr>
      </w:pPr>
      <w:r w:rsidRPr="00C87A6C">
        <w:rPr>
          <w:rFonts w:ascii="Garamond" w:hAnsi="Garamond"/>
          <w:b/>
          <w:sz w:val="24"/>
          <w:szCs w:val="24"/>
        </w:rPr>
        <w:t xml:space="preserve">Figure 5. </w:t>
      </w:r>
      <w:r w:rsidRPr="00C87A6C">
        <w:rPr>
          <w:rFonts w:ascii="Garamond" w:hAnsi="Garamond"/>
          <w:sz w:val="24"/>
          <w:szCs w:val="24"/>
        </w:rPr>
        <w:t>CRNN Reconstruction: Left Arm and Left Leg</w:t>
      </w:r>
    </w:p>
    <w:p w14:paraId="59180AD5" w14:textId="77777777" w:rsidR="00015737" w:rsidRPr="00C87A6C" w:rsidRDefault="00015737" w:rsidP="00D3767E">
      <w:pPr>
        <w:spacing w:after="0" w:line="240" w:lineRule="auto"/>
        <w:jc w:val="center"/>
        <w:rPr>
          <w:rFonts w:ascii="Garamond" w:hAnsi="Garamond"/>
          <w:sz w:val="24"/>
          <w:szCs w:val="24"/>
        </w:rPr>
      </w:pPr>
      <w:r w:rsidRPr="00C87A6C">
        <w:rPr>
          <w:rFonts w:ascii="Garamond" w:hAnsi="Garamond"/>
          <w:noProof/>
          <w:sz w:val="24"/>
          <w:szCs w:val="24"/>
        </w:rPr>
        <w:drawing>
          <wp:inline distT="0" distB="0" distL="0" distR="0" wp14:anchorId="074CF566" wp14:editId="23164C4A">
            <wp:extent cx="4341707" cy="1894637"/>
            <wp:effectExtent l="0" t="0" r="1905" b="0"/>
            <wp:docPr id="1223045252" name="Content Placeholder 4">
              <a:extLst xmlns:a="http://schemas.openxmlformats.org/drawingml/2006/main">
                <a:ext uri="{FF2B5EF4-FFF2-40B4-BE49-F238E27FC236}">
                  <a16:creationId xmlns:a16="http://schemas.microsoft.com/office/drawing/2014/main" id="{8D3EBD4C-31C7-B071-48C6-C5AA62A7DF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D3EBD4C-31C7-B071-48C6-C5AA62A7DF06}"/>
                        </a:ext>
                      </a:extLst>
                    </pic:cNvPr>
                    <pic:cNvPicPr>
                      <a:picLocks noGrp="1" noChangeAspect="1"/>
                    </pic:cNvPicPr>
                  </pic:nvPicPr>
                  <pic:blipFill rotWithShape="1">
                    <a:blip r:embed="rId33"/>
                    <a:srcRect l="2091" t="1553" r="5666" b="2746"/>
                    <a:stretch>
                      <a:fillRect/>
                    </a:stretch>
                  </pic:blipFill>
                  <pic:spPr bwMode="auto">
                    <a:xfrm>
                      <a:off x="0" y="0"/>
                      <a:ext cx="4375729" cy="1909483"/>
                    </a:xfrm>
                    <a:prstGeom prst="rect">
                      <a:avLst/>
                    </a:prstGeom>
                    <a:ln>
                      <a:noFill/>
                    </a:ln>
                    <a:extLst>
                      <a:ext uri="{53640926-AAD7-44D8-BBD7-CCE9431645EC}">
                        <a14:shadowObscured xmlns:a14="http://schemas.microsoft.com/office/drawing/2010/main"/>
                      </a:ext>
                    </a:extLst>
                  </pic:spPr>
                </pic:pic>
              </a:graphicData>
            </a:graphic>
          </wp:inline>
        </w:drawing>
      </w:r>
    </w:p>
    <w:p w14:paraId="0A648199" w14:textId="77777777" w:rsidR="00015737" w:rsidRPr="00C87A6C" w:rsidRDefault="00015737" w:rsidP="00D3767E">
      <w:pPr>
        <w:spacing w:after="0" w:line="240" w:lineRule="auto"/>
        <w:jc w:val="center"/>
        <w:rPr>
          <w:rFonts w:ascii="Garamond" w:hAnsi="Garamond"/>
          <w:sz w:val="24"/>
          <w:szCs w:val="24"/>
        </w:rPr>
      </w:pPr>
      <w:r w:rsidRPr="00C87A6C">
        <w:rPr>
          <w:rFonts w:ascii="Garamond" w:hAnsi="Garamond"/>
          <w:b/>
          <w:sz w:val="24"/>
          <w:szCs w:val="24"/>
        </w:rPr>
        <w:t xml:space="preserve">Figure 6. </w:t>
      </w:r>
      <w:r w:rsidRPr="00C87A6C">
        <w:rPr>
          <w:rFonts w:ascii="Garamond" w:hAnsi="Garamond"/>
          <w:sz w:val="24"/>
          <w:szCs w:val="24"/>
        </w:rPr>
        <w:t>CRNN Reconstruction: Right Arm and Left Leg</w:t>
      </w:r>
    </w:p>
    <w:p w14:paraId="5A77895B" w14:textId="77777777" w:rsidR="00015737" w:rsidRPr="00C87A6C" w:rsidRDefault="00015737" w:rsidP="00292BB9">
      <w:pPr>
        <w:spacing w:after="0" w:line="240" w:lineRule="auto"/>
        <w:jc w:val="center"/>
        <w:rPr>
          <w:rFonts w:ascii="Garamond" w:hAnsi="Garamond"/>
          <w:sz w:val="24"/>
          <w:szCs w:val="24"/>
        </w:rPr>
      </w:pPr>
      <w:r w:rsidRPr="00C87A6C">
        <w:rPr>
          <w:rFonts w:ascii="Garamond" w:hAnsi="Garamond"/>
          <w:noProof/>
          <w:sz w:val="24"/>
          <w:szCs w:val="24"/>
        </w:rPr>
        <w:drawing>
          <wp:inline distT="0" distB="0" distL="0" distR="0" wp14:anchorId="746E2BA7" wp14:editId="61D2D611">
            <wp:extent cx="4425696" cy="1967973"/>
            <wp:effectExtent l="0" t="0" r="0" b="0"/>
            <wp:docPr id="454140051" name="Content Placeholder 4">
              <a:extLst xmlns:a="http://schemas.openxmlformats.org/drawingml/2006/main">
                <a:ext uri="{FF2B5EF4-FFF2-40B4-BE49-F238E27FC236}">
                  <a16:creationId xmlns:a16="http://schemas.microsoft.com/office/drawing/2014/main" id="{3B0A5525-1951-D9B8-D97E-66293C8EEB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B0A5525-1951-D9B8-D97E-66293C8EEBD5}"/>
                        </a:ext>
                      </a:extLst>
                    </pic:cNvPr>
                    <pic:cNvPicPr>
                      <a:picLocks noGrp="1" noChangeAspect="1"/>
                    </pic:cNvPicPr>
                  </pic:nvPicPr>
                  <pic:blipFill rotWithShape="1">
                    <a:blip r:embed="rId34"/>
                    <a:srcRect l="3161" t="2263" r="3413" b="-1"/>
                    <a:stretch>
                      <a:fillRect/>
                    </a:stretch>
                  </pic:blipFill>
                  <pic:spPr bwMode="auto">
                    <a:xfrm>
                      <a:off x="0" y="0"/>
                      <a:ext cx="4440521" cy="1974565"/>
                    </a:xfrm>
                    <a:prstGeom prst="rect">
                      <a:avLst/>
                    </a:prstGeom>
                    <a:ln>
                      <a:noFill/>
                    </a:ln>
                    <a:extLst>
                      <a:ext uri="{53640926-AAD7-44D8-BBD7-CCE9431645EC}">
                        <a14:shadowObscured xmlns:a14="http://schemas.microsoft.com/office/drawing/2010/main"/>
                      </a:ext>
                    </a:extLst>
                  </pic:spPr>
                </pic:pic>
              </a:graphicData>
            </a:graphic>
          </wp:inline>
        </w:drawing>
      </w:r>
    </w:p>
    <w:p w14:paraId="61FC3D4D" w14:textId="77777777" w:rsidR="00015737" w:rsidRPr="00C87A6C" w:rsidRDefault="00015737" w:rsidP="00D3767E">
      <w:pPr>
        <w:spacing w:after="0" w:line="240" w:lineRule="auto"/>
        <w:jc w:val="center"/>
        <w:rPr>
          <w:rFonts w:ascii="Garamond" w:hAnsi="Garamond"/>
          <w:sz w:val="24"/>
          <w:szCs w:val="24"/>
        </w:rPr>
      </w:pPr>
      <w:r w:rsidRPr="00C87A6C">
        <w:rPr>
          <w:rFonts w:ascii="Garamond" w:hAnsi="Garamond"/>
          <w:b/>
          <w:sz w:val="24"/>
          <w:szCs w:val="24"/>
        </w:rPr>
        <w:t xml:space="preserve">Figure 7. </w:t>
      </w:r>
      <w:r w:rsidRPr="00C87A6C">
        <w:rPr>
          <w:rFonts w:ascii="Garamond" w:hAnsi="Garamond"/>
          <w:sz w:val="24"/>
          <w:szCs w:val="24"/>
        </w:rPr>
        <w:t>Transformer Reconstruction: Left Leg</w:t>
      </w:r>
    </w:p>
    <w:p w14:paraId="24C8A2EB" w14:textId="77777777" w:rsidR="00015737" w:rsidRPr="00C87A6C" w:rsidRDefault="00015737" w:rsidP="00292BB9">
      <w:pPr>
        <w:spacing w:after="0" w:line="240" w:lineRule="auto"/>
        <w:jc w:val="center"/>
        <w:rPr>
          <w:rFonts w:ascii="Garamond" w:hAnsi="Garamond"/>
          <w:sz w:val="24"/>
          <w:szCs w:val="24"/>
        </w:rPr>
      </w:pPr>
      <w:r w:rsidRPr="00C87A6C">
        <w:rPr>
          <w:rFonts w:ascii="Garamond" w:hAnsi="Garamond"/>
          <w:noProof/>
          <w:sz w:val="24"/>
          <w:szCs w:val="24"/>
        </w:rPr>
        <w:drawing>
          <wp:inline distT="0" distB="0" distL="0" distR="0" wp14:anchorId="6E5E3901" wp14:editId="4792A39C">
            <wp:extent cx="4656965" cy="2018995"/>
            <wp:effectExtent l="0" t="0" r="0" b="635"/>
            <wp:docPr id="625767311" name="Content Placeholder 4">
              <a:extLst xmlns:a="http://schemas.openxmlformats.org/drawingml/2006/main">
                <a:ext uri="{FF2B5EF4-FFF2-40B4-BE49-F238E27FC236}">
                  <a16:creationId xmlns:a16="http://schemas.microsoft.com/office/drawing/2014/main" id="{82FFF950-9847-DE1C-6447-6F0EFC86B2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2FFF950-9847-DE1C-6447-6F0EFC86B298}"/>
                        </a:ext>
                      </a:extLst>
                    </pic:cNvPr>
                    <pic:cNvPicPr>
                      <a:picLocks noGrp="1" noChangeAspect="1"/>
                    </pic:cNvPicPr>
                  </pic:nvPicPr>
                  <pic:blipFill rotWithShape="1">
                    <a:blip r:embed="rId35"/>
                    <a:srcRect l="261" t="2976" r="1518" b="-1"/>
                    <a:stretch>
                      <a:fillRect/>
                    </a:stretch>
                  </pic:blipFill>
                  <pic:spPr bwMode="auto">
                    <a:xfrm>
                      <a:off x="0" y="0"/>
                      <a:ext cx="4673418" cy="2026128"/>
                    </a:xfrm>
                    <a:prstGeom prst="rect">
                      <a:avLst/>
                    </a:prstGeom>
                    <a:ln>
                      <a:noFill/>
                    </a:ln>
                    <a:extLst>
                      <a:ext uri="{53640926-AAD7-44D8-BBD7-CCE9431645EC}">
                        <a14:shadowObscured xmlns:a14="http://schemas.microsoft.com/office/drawing/2010/main"/>
                      </a:ext>
                    </a:extLst>
                  </pic:spPr>
                </pic:pic>
              </a:graphicData>
            </a:graphic>
          </wp:inline>
        </w:drawing>
      </w:r>
    </w:p>
    <w:p w14:paraId="7994B1EE" w14:textId="77777777" w:rsidR="00015737" w:rsidRPr="00C87A6C" w:rsidRDefault="00015737" w:rsidP="00292BB9">
      <w:pPr>
        <w:spacing w:after="0" w:line="240" w:lineRule="auto"/>
        <w:jc w:val="center"/>
        <w:rPr>
          <w:rFonts w:ascii="Garamond" w:hAnsi="Garamond"/>
          <w:sz w:val="24"/>
          <w:szCs w:val="24"/>
        </w:rPr>
      </w:pPr>
      <w:r w:rsidRPr="00C87A6C">
        <w:rPr>
          <w:rFonts w:ascii="Garamond" w:hAnsi="Garamond"/>
          <w:b/>
          <w:sz w:val="24"/>
          <w:szCs w:val="24"/>
        </w:rPr>
        <w:t xml:space="preserve">Figure 8. </w:t>
      </w:r>
      <w:r w:rsidRPr="00C87A6C">
        <w:rPr>
          <w:rFonts w:ascii="Garamond" w:hAnsi="Garamond"/>
          <w:sz w:val="24"/>
          <w:szCs w:val="24"/>
        </w:rPr>
        <w:t>Transformer Reconstruction: Left Arm and Left Leg</w:t>
      </w:r>
    </w:p>
    <w:p w14:paraId="587AE77A" w14:textId="77777777" w:rsidR="00015737" w:rsidRPr="00C87A6C" w:rsidRDefault="00015737" w:rsidP="00292BB9">
      <w:pPr>
        <w:spacing w:after="0" w:line="240" w:lineRule="auto"/>
        <w:jc w:val="center"/>
        <w:rPr>
          <w:rFonts w:ascii="Garamond" w:hAnsi="Garamond"/>
          <w:sz w:val="24"/>
          <w:szCs w:val="24"/>
        </w:rPr>
      </w:pPr>
      <w:r w:rsidRPr="00C87A6C">
        <w:rPr>
          <w:rFonts w:ascii="Garamond" w:hAnsi="Garamond"/>
          <w:noProof/>
          <w:sz w:val="24"/>
          <w:szCs w:val="24"/>
        </w:rPr>
        <w:drawing>
          <wp:inline distT="0" distB="0" distL="0" distR="0" wp14:anchorId="2177BD2E" wp14:editId="1E22C229">
            <wp:extent cx="4071618" cy="1821485"/>
            <wp:effectExtent l="0" t="0" r="5715" b="7620"/>
            <wp:docPr id="1850367811" name="Content Placeholder 4">
              <a:extLst xmlns:a="http://schemas.openxmlformats.org/drawingml/2006/main">
                <a:ext uri="{FF2B5EF4-FFF2-40B4-BE49-F238E27FC236}">
                  <a16:creationId xmlns:a16="http://schemas.microsoft.com/office/drawing/2014/main" id="{AE695BC2-C9FD-2ED2-FB3B-4F6CD6EC07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E695BC2-C9FD-2ED2-FB3B-4F6CD6EC07CD}"/>
                        </a:ext>
                      </a:extLst>
                    </pic:cNvPr>
                    <pic:cNvPicPr>
                      <a:picLocks noGrp="1" noChangeAspect="1"/>
                    </pic:cNvPicPr>
                  </pic:nvPicPr>
                  <pic:blipFill rotWithShape="1">
                    <a:blip r:embed="rId36"/>
                    <a:srcRect l="3658" t="3031" r="2956"/>
                    <a:stretch>
                      <a:fillRect/>
                    </a:stretch>
                  </pic:blipFill>
                  <pic:spPr bwMode="auto">
                    <a:xfrm>
                      <a:off x="0" y="0"/>
                      <a:ext cx="4097414" cy="1833025"/>
                    </a:xfrm>
                    <a:prstGeom prst="rect">
                      <a:avLst/>
                    </a:prstGeom>
                    <a:ln>
                      <a:noFill/>
                    </a:ln>
                    <a:extLst>
                      <a:ext uri="{53640926-AAD7-44D8-BBD7-CCE9431645EC}">
                        <a14:shadowObscured xmlns:a14="http://schemas.microsoft.com/office/drawing/2010/main"/>
                      </a:ext>
                    </a:extLst>
                  </pic:spPr>
                </pic:pic>
              </a:graphicData>
            </a:graphic>
          </wp:inline>
        </w:drawing>
      </w:r>
    </w:p>
    <w:p w14:paraId="7E0F226F" w14:textId="77777777" w:rsidR="00015737" w:rsidRPr="00C87A6C" w:rsidRDefault="00015737" w:rsidP="00292BB9">
      <w:pPr>
        <w:spacing w:after="0" w:line="240" w:lineRule="auto"/>
        <w:jc w:val="center"/>
        <w:rPr>
          <w:rFonts w:ascii="Garamond" w:hAnsi="Garamond"/>
          <w:sz w:val="24"/>
          <w:szCs w:val="24"/>
        </w:rPr>
      </w:pPr>
      <w:r w:rsidRPr="00C87A6C">
        <w:rPr>
          <w:rFonts w:ascii="Garamond" w:hAnsi="Garamond"/>
          <w:b/>
          <w:sz w:val="24"/>
          <w:szCs w:val="24"/>
        </w:rPr>
        <w:t xml:space="preserve">Figure 9. </w:t>
      </w:r>
      <w:r w:rsidRPr="00C87A6C">
        <w:rPr>
          <w:rFonts w:ascii="Garamond" w:hAnsi="Garamond"/>
          <w:sz w:val="24"/>
          <w:szCs w:val="24"/>
        </w:rPr>
        <w:t>Transformer Reconstruction: Right Arm and Right Leg</w:t>
      </w:r>
    </w:p>
    <w:p w14:paraId="6111A029" w14:textId="77777777" w:rsidR="00015737" w:rsidRPr="00C87A6C"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To statistically validate these improvements, a paired comparison between baseline and proposed models was conducted across all occlusion cases. The results indicate that the improvements are statistically significant (p &lt; 0.05), confirming that the observed gains are not due to random variation but are attributable to the enhanced modeling capacity of the proposed architectures.</w:t>
      </w:r>
    </w:p>
    <w:p w14:paraId="7C3A3EB9" w14:textId="77777777" w:rsidR="00015737" w:rsidRPr="00C87A6C"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In comparison with recent state-of-the-art approaches, the results demonstrate that GAN-based reconstruction combined with attention mechanisms (Transformer) provides superior performance over traditional CRNN-based adversarial models. This highlights the importance of global context modeling in handling severe occlusions, which is often a limitation in recurrent architectures.</w:t>
      </w:r>
    </w:p>
    <w:p w14:paraId="50935BB9" w14:textId="4CFA64AC" w:rsidR="00015737" w:rsidRPr="00C87A6C" w:rsidRDefault="00015737" w:rsidP="00015737">
      <w:pPr>
        <w:pStyle w:val="ListParagraph"/>
        <w:spacing w:after="0" w:line="240" w:lineRule="auto"/>
        <w:ind w:left="0"/>
        <w:jc w:val="both"/>
        <w:rPr>
          <w:rFonts w:ascii="Garamond" w:hAnsi="Garamond"/>
          <w:bCs/>
          <w:sz w:val="24"/>
          <w:szCs w:val="24"/>
        </w:rPr>
      </w:pPr>
      <w:r w:rsidRPr="00C87A6C">
        <w:rPr>
          <w:rFonts w:ascii="Garamond" w:hAnsi="Garamond"/>
          <w:b/>
          <w:sz w:val="24"/>
          <w:szCs w:val="24"/>
        </w:rPr>
        <w:t>Activity Recognition Performance</w:t>
      </w:r>
      <w:r w:rsidR="00470529" w:rsidRPr="00C87A6C">
        <w:rPr>
          <w:rFonts w:ascii="Garamond" w:hAnsi="Garamond"/>
          <w:b/>
          <w:sz w:val="24"/>
          <w:szCs w:val="24"/>
        </w:rPr>
        <w:t>:</w:t>
      </w:r>
    </w:p>
    <w:p w14:paraId="4032AEA2" w14:textId="27BD6D17" w:rsidR="00015737" w:rsidRPr="00C87A6C"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To evaluate the impact of reconstruction quality on downstream tasks, the reconstructed skeletons were fed into an LSTM-based classifier. The classification performance of reconstructed skeletons from CRNN-</w:t>
      </w:r>
      <w:proofErr w:type="spellStart"/>
      <w:r w:rsidRPr="00C87A6C">
        <w:rPr>
          <w:rFonts w:ascii="Garamond" w:hAnsi="Garamond"/>
          <w:bCs/>
          <w:sz w:val="24"/>
          <w:szCs w:val="24"/>
        </w:rPr>
        <w:t>BiLSTM</w:t>
      </w:r>
      <w:proofErr w:type="spellEnd"/>
      <w:r w:rsidRPr="00C87A6C">
        <w:rPr>
          <w:rFonts w:ascii="Garamond" w:hAnsi="Garamond"/>
          <w:bCs/>
          <w:sz w:val="24"/>
          <w:szCs w:val="24"/>
        </w:rPr>
        <w:t xml:space="preserve"> GAN</w:t>
      </w:r>
      <w:r w:rsidR="00CC5840" w:rsidRPr="00C87A6C">
        <w:rPr>
          <w:rFonts w:ascii="Garamond" w:hAnsi="Garamond"/>
          <w:bCs/>
          <w:sz w:val="24"/>
          <w:szCs w:val="24"/>
        </w:rPr>
        <w:t>,</w:t>
      </w:r>
      <w:r w:rsidRPr="00C87A6C">
        <w:rPr>
          <w:rFonts w:ascii="Garamond" w:hAnsi="Garamond"/>
          <w:bCs/>
          <w:sz w:val="24"/>
          <w:szCs w:val="24"/>
        </w:rPr>
        <w:t xml:space="preserve"> as shown in Table 2</w:t>
      </w:r>
      <w:r w:rsidR="00CC5840" w:rsidRPr="00C87A6C">
        <w:rPr>
          <w:rFonts w:ascii="Garamond" w:hAnsi="Garamond"/>
          <w:bCs/>
          <w:sz w:val="24"/>
          <w:szCs w:val="24"/>
        </w:rPr>
        <w:t>,</w:t>
      </w:r>
      <w:r w:rsidRPr="00C87A6C">
        <w:rPr>
          <w:rFonts w:ascii="Garamond" w:hAnsi="Garamond"/>
          <w:bCs/>
          <w:sz w:val="24"/>
          <w:szCs w:val="24"/>
        </w:rPr>
        <w:t xml:space="preserve"> and Transformer-based GAN</w:t>
      </w:r>
      <w:r w:rsidR="00CC5840" w:rsidRPr="00C87A6C">
        <w:rPr>
          <w:rFonts w:ascii="Garamond" w:hAnsi="Garamond"/>
          <w:bCs/>
          <w:sz w:val="24"/>
          <w:szCs w:val="24"/>
        </w:rPr>
        <w:t>,</w:t>
      </w:r>
      <w:r w:rsidRPr="00C87A6C">
        <w:rPr>
          <w:rFonts w:ascii="Garamond" w:hAnsi="Garamond"/>
          <w:bCs/>
          <w:sz w:val="24"/>
          <w:szCs w:val="24"/>
        </w:rPr>
        <w:t xml:space="preserve"> as shown in Table 3</w:t>
      </w:r>
      <w:r w:rsidR="00CC5840" w:rsidRPr="00C87A6C">
        <w:rPr>
          <w:rFonts w:ascii="Garamond" w:hAnsi="Garamond"/>
          <w:bCs/>
          <w:sz w:val="24"/>
          <w:szCs w:val="24"/>
        </w:rPr>
        <w:t>,</w:t>
      </w:r>
      <w:r w:rsidRPr="00C87A6C">
        <w:rPr>
          <w:rFonts w:ascii="Garamond" w:hAnsi="Garamond"/>
          <w:bCs/>
          <w:sz w:val="24"/>
          <w:szCs w:val="24"/>
        </w:rPr>
        <w:t xml:space="preserve"> shows clear differences across activity types and occlusion scenarios.</w:t>
      </w:r>
    </w:p>
    <w:p w14:paraId="7362624D" w14:textId="50E35184" w:rsidR="00015737" w:rsidRPr="00C87A6C" w:rsidRDefault="00015737" w:rsidP="00292BB9">
      <w:pPr>
        <w:pStyle w:val="ListParagraph"/>
        <w:spacing w:after="0" w:line="240" w:lineRule="auto"/>
        <w:ind w:left="0"/>
        <w:jc w:val="center"/>
        <w:rPr>
          <w:rFonts w:ascii="Garamond" w:hAnsi="Garamond"/>
          <w:bCs/>
          <w:sz w:val="24"/>
          <w:szCs w:val="24"/>
        </w:rPr>
      </w:pPr>
      <w:r w:rsidRPr="00C87A6C">
        <w:rPr>
          <w:rFonts w:ascii="Garamond" w:hAnsi="Garamond"/>
          <w:b/>
          <w:sz w:val="24"/>
          <w:szCs w:val="24"/>
        </w:rPr>
        <w:t>Table 2</w:t>
      </w:r>
      <w:r w:rsidR="00292BB9" w:rsidRPr="00C87A6C">
        <w:rPr>
          <w:rFonts w:ascii="Garamond" w:hAnsi="Garamond"/>
          <w:b/>
          <w:sz w:val="24"/>
          <w:szCs w:val="24"/>
        </w:rPr>
        <w:t>.</w:t>
      </w:r>
      <w:r w:rsidRPr="00C87A6C">
        <w:rPr>
          <w:rFonts w:ascii="Garamond" w:hAnsi="Garamond"/>
          <w:b/>
          <w:sz w:val="24"/>
          <w:szCs w:val="24"/>
        </w:rPr>
        <w:t xml:space="preserve"> </w:t>
      </w:r>
      <w:r w:rsidRPr="00C87A6C">
        <w:rPr>
          <w:rFonts w:ascii="Garamond" w:hAnsi="Garamond"/>
          <w:bCs/>
          <w:sz w:val="24"/>
          <w:szCs w:val="24"/>
        </w:rPr>
        <w:t>Classification results using skeletons reconstructed by the CRNN–</w:t>
      </w:r>
      <w:proofErr w:type="spellStart"/>
      <w:r w:rsidRPr="00C87A6C">
        <w:rPr>
          <w:rFonts w:ascii="Garamond" w:hAnsi="Garamond"/>
          <w:bCs/>
          <w:sz w:val="24"/>
          <w:szCs w:val="24"/>
        </w:rPr>
        <w:t>BiLSTM</w:t>
      </w:r>
      <w:proofErr w:type="spellEnd"/>
      <w:r w:rsidRPr="00C87A6C">
        <w:rPr>
          <w:rFonts w:ascii="Garamond" w:hAnsi="Garamond"/>
          <w:bCs/>
          <w:sz w:val="24"/>
          <w:szCs w:val="24"/>
        </w:rPr>
        <w:t>-based GAN</w:t>
      </w:r>
    </w:p>
    <w:tbl>
      <w:tblPr>
        <w:tblStyle w:val="TableGrid"/>
        <w:tblW w:w="0" w:type="auto"/>
        <w:jc w:val="center"/>
        <w:tblLook w:val="04A0" w:firstRow="1" w:lastRow="0" w:firstColumn="1" w:lastColumn="0" w:noHBand="0" w:noVBand="1"/>
      </w:tblPr>
      <w:tblGrid>
        <w:gridCol w:w="1885"/>
        <w:gridCol w:w="1800"/>
        <w:gridCol w:w="2160"/>
        <w:gridCol w:w="2160"/>
      </w:tblGrid>
      <w:tr w:rsidR="003D2EE9" w:rsidRPr="00C87A6C" w14:paraId="4D66BFBC" w14:textId="77777777" w:rsidTr="003D2EE9">
        <w:trPr>
          <w:jc w:val="center"/>
        </w:trPr>
        <w:tc>
          <w:tcPr>
            <w:tcW w:w="1885" w:type="dxa"/>
            <w:vAlign w:val="center"/>
          </w:tcPr>
          <w:p w14:paraId="603E3E46" w14:textId="79095CB1"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b/>
                <w:bCs/>
                <w:color w:val="000000"/>
                <w:sz w:val="24"/>
                <w:szCs w:val="24"/>
              </w:rPr>
              <w:t>Occlusion Case</w:t>
            </w:r>
          </w:p>
        </w:tc>
        <w:tc>
          <w:tcPr>
            <w:tcW w:w="1800" w:type="dxa"/>
            <w:vAlign w:val="center"/>
          </w:tcPr>
          <w:p w14:paraId="4EE7F29F" w14:textId="7735E217"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b/>
                <w:bCs/>
                <w:color w:val="000000"/>
                <w:sz w:val="24"/>
                <w:szCs w:val="24"/>
              </w:rPr>
              <w:t>Walk (Acc/F1)</w:t>
            </w:r>
          </w:p>
        </w:tc>
        <w:tc>
          <w:tcPr>
            <w:tcW w:w="2160" w:type="dxa"/>
            <w:vAlign w:val="center"/>
          </w:tcPr>
          <w:p w14:paraId="3353ACE2" w14:textId="5B3A7ED3"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b/>
                <w:bCs/>
                <w:color w:val="000000"/>
                <w:sz w:val="24"/>
                <w:szCs w:val="24"/>
              </w:rPr>
              <w:t>Sit Down (Acc/F1)</w:t>
            </w:r>
          </w:p>
        </w:tc>
        <w:tc>
          <w:tcPr>
            <w:tcW w:w="2160" w:type="dxa"/>
            <w:vAlign w:val="center"/>
          </w:tcPr>
          <w:p w14:paraId="2C1C1BE4" w14:textId="6E204216"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b/>
                <w:bCs/>
                <w:color w:val="000000"/>
                <w:sz w:val="24"/>
                <w:szCs w:val="24"/>
              </w:rPr>
              <w:t>Stand Up (Acc/F1)</w:t>
            </w:r>
          </w:p>
        </w:tc>
      </w:tr>
      <w:tr w:rsidR="003D2EE9" w:rsidRPr="00C87A6C" w14:paraId="063E6318" w14:textId="77777777" w:rsidTr="003D2EE9">
        <w:trPr>
          <w:jc w:val="center"/>
        </w:trPr>
        <w:tc>
          <w:tcPr>
            <w:tcW w:w="1885" w:type="dxa"/>
            <w:vAlign w:val="center"/>
          </w:tcPr>
          <w:p w14:paraId="79D67B31" w14:textId="69BD0395" w:rsidR="003D2EE9" w:rsidRPr="00C87A6C" w:rsidRDefault="003D2EE9" w:rsidP="003D2EE9">
            <w:pPr>
              <w:pStyle w:val="ListParagraph"/>
              <w:ind w:left="0"/>
              <w:jc w:val="both"/>
              <w:rPr>
                <w:rFonts w:ascii="Garamond" w:hAnsi="Garamond"/>
                <w:bCs/>
                <w:sz w:val="24"/>
                <w:szCs w:val="24"/>
              </w:rPr>
            </w:pPr>
            <w:r w:rsidRPr="00C87A6C">
              <w:rPr>
                <w:rFonts w:ascii="Garamond" w:eastAsia="Times New Roman" w:hAnsi="Garamond" w:cs="Calibri"/>
                <w:color w:val="000000"/>
                <w:sz w:val="24"/>
                <w:szCs w:val="24"/>
              </w:rPr>
              <w:t>Both Arms</w:t>
            </w:r>
          </w:p>
        </w:tc>
        <w:tc>
          <w:tcPr>
            <w:tcW w:w="1800" w:type="dxa"/>
            <w:vAlign w:val="center"/>
          </w:tcPr>
          <w:p w14:paraId="3440F638" w14:textId="133F5D19"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1.0000 / 0.9445</w:t>
            </w:r>
          </w:p>
        </w:tc>
        <w:tc>
          <w:tcPr>
            <w:tcW w:w="2160" w:type="dxa"/>
            <w:vAlign w:val="center"/>
          </w:tcPr>
          <w:p w14:paraId="3B32A014" w14:textId="00E34620"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0.0000 / 0.0000</w:t>
            </w:r>
          </w:p>
        </w:tc>
        <w:tc>
          <w:tcPr>
            <w:tcW w:w="2160" w:type="dxa"/>
            <w:vAlign w:val="center"/>
          </w:tcPr>
          <w:p w14:paraId="20340206" w14:textId="2A05FC63"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0.0000 / 0.0000</w:t>
            </w:r>
          </w:p>
        </w:tc>
      </w:tr>
      <w:tr w:rsidR="003D2EE9" w:rsidRPr="00C87A6C" w14:paraId="30F89E44" w14:textId="77777777" w:rsidTr="003D2EE9">
        <w:trPr>
          <w:jc w:val="center"/>
        </w:trPr>
        <w:tc>
          <w:tcPr>
            <w:tcW w:w="1885" w:type="dxa"/>
            <w:vAlign w:val="center"/>
          </w:tcPr>
          <w:p w14:paraId="226C4B10" w14:textId="42B035BC" w:rsidR="003D2EE9" w:rsidRPr="00C87A6C" w:rsidRDefault="003D2EE9" w:rsidP="003D2EE9">
            <w:pPr>
              <w:pStyle w:val="ListParagraph"/>
              <w:ind w:left="0"/>
              <w:jc w:val="both"/>
              <w:rPr>
                <w:rFonts w:ascii="Garamond" w:hAnsi="Garamond"/>
                <w:bCs/>
                <w:sz w:val="24"/>
                <w:szCs w:val="24"/>
              </w:rPr>
            </w:pPr>
            <w:r w:rsidRPr="00C87A6C">
              <w:rPr>
                <w:rFonts w:ascii="Garamond" w:eastAsia="Times New Roman" w:hAnsi="Garamond" w:cs="Calibri"/>
                <w:color w:val="000000"/>
                <w:sz w:val="24"/>
                <w:szCs w:val="24"/>
              </w:rPr>
              <w:t>Both Legs</w:t>
            </w:r>
          </w:p>
        </w:tc>
        <w:tc>
          <w:tcPr>
            <w:tcW w:w="1800" w:type="dxa"/>
            <w:vAlign w:val="center"/>
          </w:tcPr>
          <w:p w14:paraId="2F887942" w14:textId="7D0A557B"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0.9909 / 0.9413</w:t>
            </w:r>
          </w:p>
        </w:tc>
        <w:tc>
          <w:tcPr>
            <w:tcW w:w="2160" w:type="dxa"/>
            <w:vAlign w:val="center"/>
          </w:tcPr>
          <w:p w14:paraId="21A0A7A7" w14:textId="107E52A9"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0.0165 / 0.0287</w:t>
            </w:r>
          </w:p>
        </w:tc>
        <w:tc>
          <w:tcPr>
            <w:tcW w:w="2160" w:type="dxa"/>
            <w:vAlign w:val="center"/>
          </w:tcPr>
          <w:p w14:paraId="2B4C80DE" w14:textId="5935E45A"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0.0000 / 0.0000</w:t>
            </w:r>
          </w:p>
        </w:tc>
      </w:tr>
      <w:tr w:rsidR="003D2EE9" w:rsidRPr="00C87A6C" w14:paraId="64ADB202" w14:textId="77777777" w:rsidTr="003D2EE9">
        <w:trPr>
          <w:jc w:val="center"/>
        </w:trPr>
        <w:tc>
          <w:tcPr>
            <w:tcW w:w="1885" w:type="dxa"/>
            <w:vAlign w:val="center"/>
          </w:tcPr>
          <w:p w14:paraId="4CDC5378" w14:textId="03862B10" w:rsidR="003D2EE9" w:rsidRPr="00C87A6C" w:rsidRDefault="003D2EE9" w:rsidP="003D2EE9">
            <w:pPr>
              <w:pStyle w:val="ListParagraph"/>
              <w:ind w:left="0"/>
              <w:jc w:val="both"/>
              <w:rPr>
                <w:rFonts w:ascii="Garamond" w:hAnsi="Garamond"/>
                <w:bCs/>
                <w:sz w:val="24"/>
                <w:szCs w:val="24"/>
              </w:rPr>
            </w:pPr>
            <w:r w:rsidRPr="00C87A6C">
              <w:rPr>
                <w:rFonts w:ascii="Garamond" w:eastAsia="Times New Roman" w:hAnsi="Garamond" w:cs="Calibri"/>
                <w:color w:val="000000"/>
                <w:sz w:val="24"/>
                <w:szCs w:val="24"/>
              </w:rPr>
              <w:t>Left Arm</w:t>
            </w:r>
          </w:p>
        </w:tc>
        <w:tc>
          <w:tcPr>
            <w:tcW w:w="1800" w:type="dxa"/>
            <w:vAlign w:val="center"/>
          </w:tcPr>
          <w:p w14:paraId="3B7B0859" w14:textId="4D2EBA89"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0.9039 / 0.9066</w:t>
            </w:r>
          </w:p>
        </w:tc>
        <w:tc>
          <w:tcPr>
            <w:tcW w:w="2160" w:type="dxa"/>
            <w:vAlign w:val="center"/>
          </w:tcPr>
          <w:p w14:paraId="79FC0B6E" w14:textId="14B6FCAE"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0.2056 / 0.1972</w:t>
            </w:r>
          </w:p>
        </w:tc>
        <w:tc>
          <w:tcPr>
            <w:tcW w:w="2160" w:type="dxa"/>
            <w:vAlign w:val="center"/>
          </w:tcPr>
          <w:p w14:paraId="554F77A4" w14:textId="4B0849B2"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0.0948 / 0.0949</w:t>
            </w:r>
          </w:p>
        </w:tc>
      </w:tr>
      <w:tr w:rsidR="003D2EE9" w:rsidRPr="00C87A6C" w14:paraId="5EF431EC" w14:textId="77777777" w:rsidTr="003D2EE9">
        <w:trPr>
          <w:jc w:val="center"/>
        </w:trPr>
        <w:tc>
          <w:tcPr>
            <w:tcW w:w="1885" w:type="dxa"/>
            <w:vAlign w:val="center"/>
          </w:tcPr>
          <w:p w14:paraId="7692D1FC" w14:textId="18000B22" w:rsidR="003D2EE9" w:rsidRPr="00C87A6C" w:rsidRDefault="003D2EE9" w:rsidP="003D2EE9">
            <w:pPr>
              <w:pStyle w:val="ListParagraph"/>
              <w:ind w:left="0"/>
              <w:jc w:val="both"/>
              <w:rPr>
                <w:rFonts w:ascii="Garamond" w:hAnsi="Garamond"/>
                <w:bCs/>
                <w:sz w:val="24"/>
                <w:szCs w:val="24"/>
              </w:rPr>
            </w:pPr>
            <w:r w:rsidRPr="00C87A6C">
              <w:rPr>
                <w:rFonts w:ascii="Garamond" w:eastAsia="Times New Roman" w:hAnsi="Garamond" w:cs="Calibri"/>
                <w:color w:val="000000"/>
                <w:sz w:val="24"/>
                <w:szCs w:val="24"/>
              </w:rPr>
              <w:t>Left Arm + Leg</w:t>
            </w:r>
          </w:p>
        </w:tc>
        <w:tc>
          <w:tcPr>
            <w:tcW w:w="1800" w:type="dxa"/>
            <w:vAlign w:val="center"/>
          </w:tcPr>
          <w:p w14:paraId="798EB9E3" w14:textId="54B7C62E"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0.9897 / 0.9402</w:t>
            </w:r>
          </w:p>
        </w:tc>
        <w:tc>
          <w:tcPr>
            <w:tcW w:w="2160" w:type="dxa"/>
            <w:vAlign w:val="center"/>
          </w:tcPr>
          <w:p w14:paraId="737E37B7" w14:textId="293AC0B5"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0.0216 / 0.0370</w:t>
            </w:r>
          </w:p>
        </w:tc>
        <w:tc>
          <w:tcPr>
            <w:tcW w:w="2160" w:type="dxa"/>
            <w:vAlign w:val="center"/>
          </w:tcPr>
          <w:p w14:paraId="4C2C6A3B" w14:textId="4DFFAC1B"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0.0121 / 0.0239</w:t>
            </w:r>
          </w:p>
        </w:tc>
      </w:tr>
      <w:tr w:rsidR="003D2EE9" w:rsidRPr="00C87A6C" w14:paraId="237A207F" w14:textId="77777777" w:rsidTr="003D2EE9">
        <w:trPr>
          <w:jc w:val="center"/>
        </w:trPr>
        <w:tc>
          <w:tcPr>
            <w:tcW w:w="1885" w:type="dxa"/>
            <w:vAlign w:val="center"/>
          </w:tcPr>
          <w:p w14:paraId="592C186E" w14:textId="647A652B" w:rsidR="003D2EE9" w:rsidRPr="00C87A6C" w:rsidRDefault="003D2EE9" w:rsidP="003D2EE9">
            <w:pPr>
              <w:pStyle w:val="ListParagraph"/>
              <w:ind w:left="0"/>
              <w:jc w:val="both"/>
              <w:rPr>
                <w:rFonts w:ascii="Garamond" w:hAnsi="Garamond"/>
                <w:bCs/>
                <w:sz w:val="24"/>
                <w:szCs w:val="24"/>
              </w:rPr>
            </w:pPr>
            <w:r w:rsidRPr="00C87A6C">
              <w:rPr>
                <w:rFonts w:ascii="Garamond" w:eastAsia="Times New Roman" w:hAnsi="Garamond" w:cs="Calibri"/>
                <w:color w:val="000000"/>
                <w:sz w:val="24"/>
                <w:szCs w:val="24"/>
              </w:rPr>
              <w:t>Left Leg</w:t>
            </w:r>
          </w:p>
        </w:tc>
        <w:tc>
          <w:tcPr>
            <w:tcW w:w="1800" w:type="dxa"/>
            <w:vAlign w:val="center"/>
          </w:tcPr>
          <w:p w14:paraId="0BB20ACE" w14:textId="468808E6"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1.0000 / 0.9445</w:t>
            </w:r>
          </w:p>
        </w:tc>
        <w:tc>
          <w:tcPr>
            <w:tcW w:w="2160" w:type="dxa"/>
            <w:vAlign w:val="center"/>
          </w:tcPr>
          <w:p w14:paraId="48554851" w14:textId="6BCA3712"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0.0000 / 0.0000</w:t>
            </w:r>
          </w:p>
        </w:tc>
        <w:tc>
          <w:tcPr>
            <w:tcW w:w="2160" w:type="dxa"/>
            <w:vAlign w:val="center"/>
          </w:tcPr>
          <w:p w14:paraId="0AC43035" w14:textId="47AF8D5F"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0.0000 / 0.0000</w:t>
            </w:r>
          </w:p>
        </w:tc>
      </w:tr>
      <w:tr w:rsidR="003D2EE9" w:rsidRPr="00C87A6C" w14:paraId="556B8270" w14:textId="77777777" w:rsidTr="003D2EE9">
        <w:trPr>
          <w:jc w:val="center"/>
        </w:trPr>
        <w:tc>
          <w:tcPr>
            <w:tcW w:w="1885" w:type="dxa"/>
            <w:vAlign w:val="center"/>
          </w:tcPr>
          <w:p w14:paraId="1F3D674E" w14:textId="34CF5BA4" w:rsidR="003D2EE9" w:rsidRPr="00C87A6C" w:rsidRDefault="003D2EE9" w:rsidP="003D2EE9">
            <w:pPr>
              <w:pStyle w:val="ListParagraph"/>
              <w:ind w:left="0"/>
              <w:jc w:val="both"/>
              <w:rPr>
                <w:rFonts w:ascii="Garamond" w:hAnsi="Garamond"/>
                <w:bCs/>
                <w:sz w:val="24"/>
                <w:szCs w:val="24"/>
              </w:rPr>
            </w:pPr>
            <w:r w:rsidRPr="00C87A6C">
              <w:rPr>
                <w:rFonts w:ascii="Garamond" w:eastAsia="Times New Roman" w:hAnsi="Garamond" w:cs="Calibri"/>
                <w:color w:val="000000"/>
                <w:sz w:val="24"/>
                <w:szCs w:val="24"/>
              </w:rPr>
              <w:t>Right Arm</w:t>
            </w:r>
          </w:p>
        </w:tc>
        <w:tc>
          <w:tcPr>
            <w:tcW w:w="1800" w:type="dxa"/>
            <w:vAlign w:val="center"/>
          </w:tcPr>
          <w:p w14:paraId="11B0D389" w14:textId="11FB6C29"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0.9750 / 0.9391</w:t>
            </w:r>
          </w:p>
        </w:tc>
        <w:tc>
          <w:tcPr>
            <w:tcW w:w="2160" w:type="dxa"/>
            <w:vAlign w:val="center"/>
          </w:tcPr>
          <w:p w14:paraId="47AFEB16" w14:textId="7571229B"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0.1764 / 0.2390</w:t>
            </w:r>
          </w:p>
        </w:tc>
        <w:tc>
          <w:tcPr>
            <w:tcW w:w="2160" w:type="dxa"/>
            <w:vAlign w:val="center"/>
          </w:tcPr>
          <w:p w14:paraId="42DA8D4C" w14:textId="1049799D"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0.0222 / 0.0386</w:t>
            </w:r>
          </w:p>
        </w:tc>
      </w:tr>
      <w:tr w:rsidR="003D2EE9" w:rsidRPr="00C87A6C" w14:paraId="51E8E280" w14:textId="77777777" w:rsidTr="003D2EE9">
        <w:trPr>
          <w:jc w:val="center"/>
        </w:trPr>
        <w:tc>
          <w:tcPr>
            <w:tcW w:w="1885" w:type="dxa"/>
            <w:vAlign w:val="center"/>
          </w:tcPr>
          <w:p w14:paraId="1877D6C3" w14:textId="6DCB45B0" w:rsidR="003D2EE9" w:rsidRPr="00C87A6C" w:rsidRDefault="003D2EE9" w:rsidP="003D2EE9">
            <w:pPr>
              <w:pStyle w:val="ListParagraph"/>
              <w:ind w:left="0"/>
              <w:jc w:val="both"/>
              <w:rPr>
                <w:rFonts w:ascii="Garamond" w:hAnsi="Garamond"/>
                <w:bCs/>
                <w:sz w:val="24"/>
                <w:szCs w:val="24"/>
              </w:rPr>
            </w:pPr>
            <w:r w:rsidRPr="00C87A6C">
              <w:rPr>
                <w:rFonts w:ascii="Garamond" w:eastAsia="Times New Roman" w:hAnsi="Garamond" w:cs="Calibri"/>
                <w:color w:val="000000"/>
                <w:sz w:val="24"/>
                <w:szCs w:val="24"/>
              </w:rPr>
              <w:t>Right Arm + Leg</w:t>
            </w:r>
          </w:p>
        </w:tc>
        <w:tc>
          <w:tcPr>
            <w:tcW w:w="1800" w:type="dxa"/>
            <w:vAlign w:val="center"/>
          </w:tcPr>
          <w:p w14:paraId="4876A2AC" w14:textId="2A3D5FFC"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0.9977 / 0.9440</w:t>
            </w:r>
          </w:p>
        </w:tc>
        <w:tc>
          <w:tcPr>
            <w:tcW w:w="2160" w:type="dxa"/>
            <w:vAlign w:val="center"/>
          </w:tcPr>
          <w:p w14:paraId="0A4B844B" w14:textId="0F980185"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0.0000 / 0.0000</w:t>
            </w:r>
          </w:p>
        </w:tc>
        <w:tc>
          <w:tcPr>
            <w:tcW w:w="2160" w:type="dxa"/>
            <w:vAlign w:val="center"/>
          </w:tcPr>
          <w:p w14:paraId="0E1EE2A1" w14:textId="557EFCEB"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0.0323 / 0.0610</w:t>
            </w:r>
          </w:p>
        </w:tc>
      </w:tr>
      <w:tr w:rsidR="003D2EE9" w:rsidRPr="00C87A6C" w14:paraId="7085A9FC" w14:textId="77777777" w:rsidTr="003D2EE9">
        <w:trPr>
          <w:jc w:val="center"/>
        </w:trPr>
        <w:tc>
          <w:tcPr>
            <w:tcW w:w="1885" w:type="dxa"/>
            <w:vAlign w:val="center"/>
          </w:tcPr>
          <w:p w14:paraId="6E462230" w14:textId="03B9A6A8" w:rsidR="003D2EE9" w:rsidRPr="00C87A6C" w:rsidRDefault="003D2EE9" w:rsidP="003D2EE9">
            <w:pPr>
              <w:pStyle w:val="ListParagraph"/>
              <w:ind w:left="0"/>
              <w:jc w:val="both"/>
              <w:rPr>
                <w:rFonts w:ascii="Garamond" w:hAnsi="Garamond"/>
                <w:bCs/>
                <w:sz w:val="24"/>
                <w:szCs w:val="24"/>
              </w:rPr>
            </w:pPr>
            <w:r w:rsidRPr="00C87A6C">
              <w:rPr>
                <w:rFonts w:ascii="Garamond" w:eastAsia="Times New Roman" w:hAnsi="Garamond" w:cs="Calibri"/>
                <w:color w:val="000000"/>
                <w:sz w:val="24"/>
                <w:szCs w:val="24"/>
              </w:rPr>
              <w:t>Right Leg</w:t>
            </w:r>
          </w:p>
        </w:tc>
        <w:tc>
          <w:tcPr>
            <w:tcW w:w="1800" w:type="dxa"/>
            <w:vAlign w:val="center"/>
          </w:tcPr>
          <w:p w14:paraId="139A758A" w14:textId="043B21FF"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0.9773 / 0.9399</w:t>
            </w:r>
          </w:p>
        </w:tc>
        <w:tc>
          <w:tcPr>
            <w:tcW w:w="2160" w:type="dxa"/>
            <w:vAlign w:val="center"/>
          </w:tcPr>
          <w:p w14:paraId="279BEA67" w14:textId="6B93F87E"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0.1561 / 0.2278</w:t>
            </w:r>
          </w:p>
        </w:tc>
        <w:tc>
          <w:tcPr>
            <w:tcW w:w="2160" w:type="dxa"/>
            <w:vAlign w:val="center"/>
          </w:tcPr>
          <w:p w14:paraId="237C3EE5" w14:textId="26B0F735" w:rsidR="003D2EE9" w:rsidRPr="00C87A6C" w:rsidRDefault="003D2EE9" w:rsidP="003D2EE9">
            <w:pPr>
              <w:pStyle w:val="ListParagraph"/>
              <w:ind w:left="0"/>
              <w:jc w:val="center"/>
              <w:rPr>
                <w:rFonts w:ascii="Garamond" w:hAnsi="Garamond"/>
                <w:bCs/>
                <w:sz w:val="24"/>
                <w:szCs w:val="24"/>
              </w:rPr>
            </w:pPr>
            <w:r w:rsidRPr="00C87A6C">
              <w:rPr>
                <w:rFonts w:ascii="Garamond" w:eastAsia="Times New Roman" w:hAnsi="Garamond" w:cs="Calibri"/>
                <w:color w:val="000000"/>
                <w:sz w:val="24"/>
                <w:szCs w:val="24"/>
              </w:rPr>
              <w:t>0.0544 / 0.0872</w:t>
            </w:r>
          </w:p>
        </w:tc>
      </w:tr>
    </w:tbl>
    <w:p w14:paraId="5E7E7EB4" w14:textId="37CF8B20" w:rsidR="003D2EE9" w:rsidRPr="00C87A6C" w:rsidRDefault="00015737" w:rsidP="003D2EE9">
      <w:pPr>
        <w:pStyle w:val="ListParagraph"/>
        <w:spacing w:after="0" w:line="240" w:lineRule="auto"/>
        <w:ind w:left="0"/>
        <w:jc w:val="center"/>
        <w:rPr>
          <w:rFonts w:ascii="Garamond" w:hAnsi="Garamond"/>
          <w:bCs/>
          <w:sz w:val="24"/>
          <w:szCs w:val="24"/>
        </w:rPr>
      </w:pPr>
      <w:r w:rsidRPr="00C87A6C">
        <w:rPr>
          <w:rFonts w:ascii="Garamond" w:hAnsi="Garamond"/>
          <w:b/>
          <w:sz w:val="24"/>
          <w:szCs w:val="24"/>
        </w:rPr>
        <w:t>Table 3</w:t>
      </w:r>
      <w:r w:rsidR="003D2EE9" w:rsidRPr="00C87A6C">
        <w:rPr>
          <w:rFonts w:ascii="Garamond" w:hAnsi="Garamond"/>
          <w:b/>
          <w:sz w:val="24"/>
          <w:szCs w:val="24"/>
        </w:rPr>
        <w:t>.</w:t>
      </w:r>
      <w:r w:rsidRPr="00C87A6C">
        <w:rPr>
          <w:rFonts w:ascii="Garamond" w:hAnsi="Garamond"/>
          <w:sz w:val="24"/>
          <w:szCs w:val="24"/>
        </w:rPr>
        <w:t xml:space="preserve"> </w:t>
      </w:r>
      <w:r w:rsidRPr="00C87A6C">
        <w:rPr>
          <w:rFonts w:ascii="Garamond" w:hAnsi="Garamond"/>
          <w:bCs/>
          <w:sz w:val="24"/>
          <w:szCs w:val="24"/>
        </w:rPr>
        <w:t>Classification results using skeletons reconstructed by the Transformer</w:t>
      </w:r>
      <w:r w:rsidR="00CC5840" w:rsidRPr="00C87A6C">
        <w:rPr>
          <w:rFonts w:ascii="Garamond" w:hAnsi="Garamond"/>
          <w:bCs/>
          <w:sz w:val="24"/>
          <w:szCs w:val="24"/>
        </w:rPr>
        <w:t>-</w:t>
      </w:r>
      <w:r w:rsidRPr="00C87A6C">
        <w:rPr>
          <w:rFonts w:ascii="Garamond" w:hAnsi="Garamond"/>
          <w:bCs/>
          <w:sz w:val="24"/>
          <w:szCs w:val="24"/>
        </w:rPr>
        <w:t>based GAN</w:t>
      </w:r>
    </w:p>
    <w:tbl>
      <w:tblPr>
        <w:tblStyle w:val="TableGrid"/>
        <w:tblW w:w="0" w:type="auto"/>
        <w:jc w:val="center"/>
        <w:tblLook w:val="04A0" w:firstRow="1" w:lastRow="0" w:firstColumn="1" w:lastColumn="0" w:noHBand="0" w:noVBand="1"/>
      </w:tblPr>
      <w:tblGrid>
        <w:gridCol w:w="1885"/>
        <w:gridCol w:w="1890"/>
        <w:gridCol w:w="2340"/>
        <w:gridCol w:w="2340"/>
      </w:tblGrid>
      <w:tr w:rsidR="003D2EE9" w:rsidRPr="00C87A6C" w14:paraId="249F5DB4" w14:textId="77777777" w:rsidTr="003D2EE9">
        <w:trPr>
          <w:jc w:val="center"/>
        </w:trPr>
        <w:tc>
          <w:tcPr>
            <w:tcW w:w="1885" w:type="dxa"/>
          </w:tcPr>
          <w:p w14:paraId="043758DE" w14:textId="50C564C2" w:rsidR="003D2EE9" w:rsidRPr="00C87A6C" w:rsidRDefault="003D2EE9" w:rsidP="003D2EE9">
            <w:pPr>
              <w:pStyle w:val="ListParagraph"/>
              <w:ind w:left="0"/>
              <w:jc w:val="center"/>
              <w:rPr>
                <w:rFonts w:ascii="Garamond" w:hAnsi="Garamond"/>
                <w:b/>
                <w:bCs/>
                <w:sz w:val="24"/>
                <w:szCs w:val="24"/>
              </w:rPr>
            </w:pPr>
            <w:r w:rsidRPr="00C87A6C">
              <w:rPr>
                <w:rFonts w:ascii="Garamond" w:hAnsi="Garamond"/>
                <w:b/>
                <w:bCs/>
                <w:sz w:val="24"/>
                <w:szCs w:val="24"/>
              </w:rPr>
              <w:t>Occlusion Case</w:t>
            </w:r>
          </w:p>
        </w:tc>
        <w:tc>
          <w:tcPr>
            <w:tcW w:w="1890" w:type="dxa"/>
          </w:tcPr>
          <w:p w14:paraId="5A590268" w14:textId="3FB75033" w:rsidR="003D2EE9" w:rsidRPr="00C87A6C" w:rsidRDefault="003D2EE9" w:rsidP="003D2EE9">
            <w:pPr>
              <w:pStyle w:val="ListParagraph"/>
              <w:ind w:left="0"/>
              <w:jc w:val="center"/>
              <w:rPr>
                <w:rFonts w:ascii="Garamond" w:hAnsi="Garamond"/>
                <w:b/>
                <w:bCs/>
                <w:sz w:val="24"/>
                <w:szCs w:val="24"/>
              </w:rPr>
            </w:pPr>
            <w:r w:rsidRPr="00C87A6C">
              <w:rPr>
                <w:rFonts w:ascii="Garamond" w:hAnsi="Garamond"/>
                <w:b/>
                <w:bCs/>
                <w:sz w:val="24"/>
                <w:szCs w:val="24"/>
              </w:rPr>
              <w:t>Walk (Acc / F1)</w:t>
            </w:r>
          </w:p>
        </w:tc>
        <w:tc>
          <w:tcPr>
            <w:tcW w:w="2340" w:type="dxa"/>
          </w:tcPr>
          <w:p w14:paraId="23BE2DBE" w14:textId="54B0E872" w:rsidR="003D2EE9" w:rsidRPr="00C87A6C" w:rsidRDefault="003D2EE9" w:rsidP="003D2EE9">
            <w:pPr>
              <w:pStyle w:val="ListParagraph"/>
              <w:ind w:left="0"/>
              <w:jc w:val="center"/>
              <w:rPr>
                <w:rFonts w:ascii="Garamond" w:hAnsi="Garamond"/>
                <w:b/>
                <w:bCs/>
                <w:sz w:val="24"/>
                <w:szCs w:val="24"/>
              </w:rPr>
            </w:pPr>
            <w:r w:rsidRPr="00C87A6C">
              <w:rPr>
                <w:rFonts w:ascii="Garamond" w:hAnsi="Garamond"/>
                <w:b/>
                <w:bCs/>
                <w:sz w:val="24"/>
                <w:szCs w:val="24"/>
              </w:rPr>
              <w:t>Sit Down (Acc / F1)</w:t>
            </w:r>
          </w:p>
        </w:tc>
        <w:tc>
          <w:tcPr>
            <w:tcW w:w="2340" w:type="dxa"/>
          </w:tcPr>
          <w:p w14:paraId="51EDA352" w14:textId="21D24198" w:rsidR="003D2EE9" w:rsidRPr="00C87A6C" w:rsidRDefault="003D2EE9" w:rsidP="003D2EE9">
            <w:pPr>
              <w:pStyle w:val="ListParagraph"/>
              <w:ind w:left="0"/>
              <w:jc w:val="center"/>
              <w:rPr>
                <w:rFonts w:ascii="Garamond" w:hAnsi="Garamond"/>
                <w:b/>
                <w:bCs/>
                <w:sz w:val="24"/>
                <w:szCs w:val="24"/>
              </w:rPr>
            </w:pPr>
            <w:r w:rsidRPr="00C87A6C">
              <w:rPr>
                <w:rFonts w:ascii="Garamond" w:hAnsi="Garamond"/>
                <w:b/>
                <w:bCs/>
                <w:sz w:val="24"/>
                <w:szCs w:val="24"/>
              </w:rPr>
              <w:t>Stand Up (Acc / F1)</w:t>
            </w:r>
          </w:p>
        </w:tc>
      </w:tr>
      <w:tr w:rsidR="003D2EE9" w:rsidRPr="00C87A6C" w14:paraId="5E3FCF38" w14:textId="77777777" w:rsidTr="003D2EE9">
        <w:trPr>
          <w:jc w:val="center"/>
        </w:trPr>
        <w:tc>
          <w:tcPr>
            <w:tcW w:w="1885" w:type="dxa"/>
          </w:tcPr>
          <w:p w14:paraId="10DA7EDC" w14:textId="48F6303E" w:rsidR="003D2EE9" w:rsidRPr="00C87A6C" w:rsidRDefault="003D2EE9" w:rsidP="003D2EE9">
            <w:pPr>
              <w:pStyle w:val="ListParagraph"/>
              <w:ind w:left="0"/>
              <w:jc w:val="both"/>
              <w:rPr>
                <w:rFonts w:ascii="Garamond" w:hAnsi="Garamond"/>
                <w:bCs/>
                <w:sz w:val="24"/>
                <w:szCs w:val="24"/>
              </w:rPr>
            </w:pPr>
            <w:r w:rsidRPr="00C87A6C">
              <w:rPr>
                <w:rFonts w:ascii="Garamond" w:hAnsi="Garamond"/>
                <w:sz w:val="24"/>
                <w:szCs w:val="24"/>
              </w:rPr>
              <w:t>Both Arms</w:t>
            </w:r>
          </w:p>
        </w:tc>
        <w:tc>
          <w:tcPr>
            <w:tcW w:w="1890" w:type="dxa"/>
          </w:tcPr>
          <w:p w14:paraId="294187CE" w14:textId="27A5A1ED"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0.9935 / 0.9538</w:t>
            </w:r>
          </w:p>
        </w:tc>
        <w:tc>
          <w:tcPr>
            <w:tcW w:w="2340" w:type="dxa"/>
          </w:tcPr>
          <w:p w14:paraId="5203A10F" w14:textId="1841CE0D"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0.2170 / 0.3308</w:t>
            </w:r>
          </w:p>
        </w:tc>
        <w:tc>
          <w:tcPr>
            <w:tcW w:w="2340" w:type="dxa"/>
          </w:tcPr>
          <w:p w14:paraId="70469144" w14:textId="2F8A911B"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0.1210 / 0.1923</w:t>
            </w:r>
          </w:p>
        </w:tc>
      </w:tr>
      <w:tr w:rsidR="003D2EE9" w:rsidRPr="00C87A6C" w14:paraId="5978627E" w14:textId="77777777" w:rsidTr="003D2EE9">
        <w:trPr>
          <w:jc w:val="center"/>
        </w:trPr>
        <w:tc>
          <w:tcPr>
            <w:tcW w:w="1885" w:type="dxa"/>
          </w:tcPr>
          <w:p w14:paraId="50FD7860" w14:textId="71ED7E1D" w:rsidR="003D2EE9" w:rsidRPr="00C87A6C" w:rsidRDefault="003D2EE9" w:rsidP="003D2EE9">
            <w:pPr>
              <w:pStyle w:val="ListParagraph"/>
              <w:ind w:left="0"/>
              <w:jc w:val="both"/>
              <w:rPr>
                <w:rFonts w:ascii="Garamond" w:hAnsi="Garamond"/>
                <w:bCs/>
                <w:sz w:val="24"/>
                <w:szCs w:val="24"/>
              </w:rPr>
            </w:pPr>
            <w:r w:rsidRPr="00C87A6C">
              <w:rPr>
                <w:rFonts w:ascii="Garamond" w:hAnsi="Garamond"/>
                <w:sz w:val="24"/>
                <w:szCs w:val="24"/>
              </w:rPr>
              <w:t>Both Legs</w:t>
            </w:r>
          </w:p>
        </w:tc>
        <w:tc>
          <w:tcPr>
            <w:tcW w:w="1890" w:type="dxa"/>
          </w:tcPr>
          <w:p w14:paraId="26FFDD55" w14:textId="3F0C1F6A"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0.9880 / 0.9467</w:t>
            </w:r>
          </w:p>
        </w:tc>
        <w:tc>
          <w:tcPr>
            <w:tcW w:w="2340" w:type="dxa"/>
          </w:tcPr>
          <w:p w14:paraId="40DAD348" w14:textId="4F1DE92B"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0.1548 / 0.2272</w:t>
            </w:r>
          </w:p>
        </w:tc>
        <w:tc>
          <w:tcPr>
            <w:tcW w:w="2340" w:type="dxa"/>
          </w:tcPr>
          <w:p w14:paraId="25E83CFC" w14:textId="4986F149"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0.0343 / 0.0630</w:t>
            </w:r>
          </w:p>
        </w:tc>
      </w:tr>
      <w:tr w:rsidR="003D2EE9" w:rsidRPr="00C87A6C" w14:paraId="4D0A9828" w14:textId="77777777" w:rsidTr="003D2EE9">
        <w:trPr>
          <w:jc w:val="center"/>
        </w:trPr>
        <w:tc>
          <w:tcPr>
            <w:tcW w:w="1885" w:type="dxa"/>
          </w:tcPr>
          <w:p w14:paraId="7A675888" w14:textId="58E34F1E" w:rsidR="003D2EE9" w:rsidRPr="00C87A6C" w:rsidRDefault="003D2EE9" w:rsidP="003D2EE9">
            <w:pPr>
              <w:pStyle w:val="ListParagraph"/>
              <w:ind w:left="0"/>
              <w:jc w:val="both"/>
              <w:rPr>
                <w:rFonts w:ascii="Garamond" w:hAnsi="Garamond"/>
                <w:bCs/>
                <w:sz w:val="24"/>
                <w:szCs w:val="24"/>
              </w:rPr>
            </w:pPr>
            <w:r w:rsidRPr="00C87A6C">
              <w:rPr>
                <w:rFonts w:ascii="Garamond" w:hAnsi="Garamond"/>
                <w:sz w:val="24"/>
                <w:szCs w:val="24"/>
              </w:rPr>
              <w:t>Left Arm</w:t>
            </w:r>
          </w:p>
        </w:tc>
        <w:tc>
          <w:tcPr>
            <w:tcW w:w="1890" w:type="dxa"/>
          </w:tcPr>
          <w:p w14:paraId="69BC54A9" w14:textId="235F0452"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0.9862 / 0.9476</w:t>
            </w:r>
          </w:p>
        </w:tc>
        <w:tc>
          <w:tcPr>
            <w:tcW w:w="2340" w:type="dxa"/>
          </w:tcPr>
          <w:p w14:paraId="7908CFF3" w14:textId="0F359023"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0.1853 / 0.2631</w:t>
            </w:r>
          </w:p>
        </w:tc>
        <w:tc>
          <w:tcPr>
            <w:tcW w:w="2340" w:type="dxa"/>
          </w:tcPr>
          <w:p w14:paraId="621EA771" w14:textId="14E75A18"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0.0827 / 0.1439</w:t>
            </w:r>
          </w:p>
        </w:tc>
      </w:tr>
      <w:tr w:rsidR="003D2EE9" w:rsidRPr="00C87A6C" w14:paraId="67732DDF" w14:textId="77777777" w:rsidTr="003D2EE9">
        <w:trPr>
          <w:jc w:val="center"/>
        </w:trPr>
        <w:tc>
          <w:tcPr>
            <w:tcW w:w="1885" w:type="dxa"/>
          </w:tcPr>
          <w:p w14:paraId="2A7C04E8" w14:textId="0A781A39" w:rsidR="003D2EE9" w:rsidRPr="00C87A6C" w:rsidRDefault="003D2EE9" w:rsidP="003D2EE9">
            <w:pPr>
              <w:pStyle w:val="ListParagraph"/>
              <w:ind w:left="0"/>
              <w:jc w:val="both"/>
              <w:rPr>
                <w:rFonts w:ascii="Garamond" w:hAnsi="Garamond"/>
                <w:bCs/>
                <w:sz w:val="24"/>
                <w:szCs w:val="24"/>
              </w:rPr>
            </w:pPr>
            <w:r w:rsidRPr="00C87A6C">
              <w:rPr>
                <w:rFonts w:ascii="Garamond" w:hAnsi="Garamond"/>
                <w:sz w:val="24"/>
                <w:szCs w:val="24"/>
              </w:rPr>
              <w:t>Right Arm</w:t>
            </w:r>
          </w:p>
        </w:tc>
        <w:tc>
          <w:tcPr>
            <w:tcW w:w="1890" w:type="dxa"/>
          </w:tcPr>
          <w:p w14:paraId="72D511F8" w14:textId="3C92A578"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0.9854 / 0.9508</w:t>
            </w:r>
          </w:p>
        </w:tc>
        <w:tc>
          <w:tcPr>
            <w:tcW w:w="2340" w:type="dxa"/>
          </w:tcPr>
          <w:p w14:paraId="731F4130" w14:textId="60E2BF3D"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0.1358 / 0.2136</w:t>
            </w:r>
          </w:p>
        </w:tc>
        <w:tc>
          <w:tcPr>
            <w:tcW w:w="2340" w:type="dxa"/>
          </w:tcPr>
          <w:p w14:paraId="1114D66F" w14:textId="75CF6E69"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0.1694 / 0.2182</w:t>
            </w:r>
          </w:p>
        </w:tc>
      </w:tr>
      <w:tr w:rsidR="003D2EE9" w:rsidRPr="00C87A6C" w14:paraId="12C8C93C" w14:textId="77777777" w:rsidTr="003D2EE9">
        <w:trPr>
          <w:jc w:val="center"/>
        </w:trPr>
        <w:tc>
          <w:tcPr>
            <w:tcW w:w="1885" w:type="dxa"/>
          </w:tcPr>
          <w:p w14:paraId="48B3C424" w14:textId="31CB9786" w:rsidR="003D2EE9" w:rsidRPr="00C87A6C" w:rsidRDefault="003D2EE9" w:rsidP="003D2EE9">
            <w:pPr>
              <w:pStyle w:val="ListParagraph"/>
              <w:ind w:left="0"/>
              <w:jc w:val="both"/>
              <w:rPr>
                <w:rFonts w:ascii="Garamond" w:hAnsi="Garamond"/>
                <w:bCs/>
                <w:sz w:val="24"/>
                <w:szCs w:val="24"/>
              </w:rPr>
            </w:pPr>
            <w:r w:rsidRPr="00C87A6C">
              <w:rPr>
                <w:rFonts w:ascii="Garamond" w:hAnsi="Garamond"/>
                <w:sz w:val="24"/>
                <w:szCs w:val="24"/>
              </w:rPr>
              <w:t>Left Leg</w:t>
            </w:r>
          </w:p>
        </w:tc>
        <w:tc>
          <w:tcPr>
            <w:tcW w:w="1890" w:type="dxa"/>
          </w:tcPr>
          <w:p w14:paraId="337863C8" w14:textId="6A80C060"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0.9859 / 0.9532</w:t>
            </w:r>
          </w:p>
        </w:tc>
        <w:tc>
          <w:tcPr>
            <w:tcW w:w="2340" w:type="dxa"/>
          </w:tcPr>
          <w:p w14:paraId="2C98CD2B" w14:textId="686114C4"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0.1574 / 0.2417</w:t>
            </w:r>
          </w:p>
        </w:tc>
        <w:tc>
          <w:tcPr>
            <w:tcW w:w="2340" w:type="dxa"/>
          </w:tcPr>
          <w:p w14:paraId="7D03B878" w14:textId="6F6680A3"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0.2480 / 0.3102</w:t>
            </w:r>
          </w:p>
        </w:tc>
      </w:tr>
      <w:tr w:rsidR="003D2EE9" w:rsidRPr="00C87A6C" w14:paraId="2A68ADCC" w14:textId="77777777" w:rsidTr="003D2EE9">
        <w:trPr>
          <w:jc w:val="center"/>
        </w:trPr>
        <w:tc>
          <w:tcPr>
            <w:tcW w:w="1885" w:type="dxa"/>
          </w:tcPr>
          <w:p w14:paraId="3BDCBD2B" w14:textId="4A61DA76" w:rsidR="003D2EE9" w:rsidRPr="00C87A6C" w:rsidRDefault="003D2EE9" w:rsidP="003D2EE9">
            <w:pPr>
              <w:pStyle w:val="ListParagraph"/>
              <w:ind w:left="0"/>
              <w:jc w:val="both"/>
              <w:rPr>
                <w:rFonts w:ascii="Garamond" w:hAnsi="Garamond"/>
                <w:bCs/>
                <w:sz w:val="24"/>
                <w:szCs w:val="24"/>
              </w:rPr>
            </w:pPr>
            <w:r w:rsidRPr="00C87A6C">
              <w:rPr>
                <w:rFonts w:ascii="Garamond" w:hAnsi="Garamond"/>
                <w:sz w:val="24"/>
                <w:szCs w:val="24"/>
              </w:rPr>
              <w:t>Right Leg</w:t>
            </w:r>
          </w:p>
        </w:tc>
        <w:tc>
          <w:tcPr>
            <w:tcW w:w="1890" w:type="dxa"/>
          </w:tcPr>
          <w:p w14:paraId="1E51E135" w14:textId="2706B46A"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0.9905 / 0.9526</w:t>
            </w:r>
          </w:p>
        </w:tc>
        <w:tc>
          <w:tcPr>
            <w:tcW w:w="2340" w:type="dxa"/>
          </w:tcPr>
          <w:p w14:paraId="463965C7" w14:textId="47440E4A"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0.1383 / 0.2104</w:t>
            </w:r>
          </w:p>
        </w:tc>
        <w:tc>
          <w:tcPr>
            <w:tcW w:w="2340" w:type="dxa"/>
          </w:tcPr>
          <w:p w14:paraId="23024DA0" w14:textId="18E5072D"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0.2198 / 0.3283</w:t>
            </w:r>
          </w:p>
        </w:tc>
      </w:tr>
      <w:tr w:rsidR="003D2EE9" w:rsidRPr="00C87A6C" w14:paraId="779C6097" w14:textId="77777777" w:rsidTr="003D2EE9">
        <w:trPr>
          <w:jc w:val="center"/>
        </w:trPr>
        <w:tc>
          <w:tcPr>
            <w:tcW w:w="1885" w:type="dxa"/>
          </w:tcPr>
          <w:p w14:paraId="0CE02735" w14:textId="2550F81B" w:rsidR="003D2EE9" w:rsidRPr="00C87A6C" w:rsidRDefault="003D2EE9" w:rsidP="003D2EE9">
            <w:pPr>
              <w:pStyle w:val="ListParagraph"/>
              <w:ind w:left="0"/>
              <w:jc w:val="both"/>
              <w:rPr>
                <w:rFonts w:ascii="Garamond" w:hAnsi="Garamond"/>
                <w:bCs/>
                <w:sz w:val="24"/>
                <w:szCs w:val="24"/>
              </w:rPr>
            </w:pPr>
            <w:r w:rsidRPr="00C87A6C">
              <w:rPr>
                <w:rFonts w:ascii="Garamond" w:hAnsi="Garamond"/>
                <w:sz w:val="24"/>
                <w:szCs w:val="24"/>
              </w:rPr>
              <w:t>Left Arm + Leg</w:t>
            </w:r>
          </w:p>
        </w:tc>
        <w:tc>
          <w:tcPr>
            <w:tcW w:w="1890" w:type="dxa"/>
          </w:tcPr>
          <w:p w14:paraId="0E4CC34B" w14:textId="2E4AE479"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0.9886 / 0.9507</w:t>
            </w:r>
          </w:p>
        </w:tc>
        <w:tc>
          <w:tcPr>
            <w:tcW w:w="2340" w:type="dxa"/>
          </w:tcPr>
          <w:p w14:paraId="31ECE013" w14:textId="0A2BC66F"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0.2183 / 0.3082</w:t>
            </w:r>
          </w:p>
        </w:tc>
        <w:tc>
          <w:tcPr>
            <w:tcW w:w="2340" w:type="dxa"/>
          </w:tcPr>
          <w:p w14:paraId="675D0BD9" w14:textId="4C6846F2"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0.0948 / 0.1615</w:t>
            </w:r>
          </w:p>
        </w:tc>
      </w:tr>
      <w:tr w:rsidR="003D2EE9" w:rsidRPr="00C87A6C" w14:paraId="4FB17ECB" w14:textId="77777777" w:rsidTr="003D2EE9">
        <w:trPr>
          <w:jc w:val="center"/>
        </w:trPr>
        <w:tc>
          <w:tcPr>
            <w:tcW w:w="1885" w:type="dxa"/>
          </w:tcPr>
          <w:p w14:paraId="45327C1D" w14:textId="57769BB6" w:rsidR="003D2EE9" w:rsidRPr="00C87A6C" w:rsidRDefault="003D2EE9" w:rsidP="003D2EE9">
            <w:pPr>
              <w:pStyle w:val="ListParagraph"/>
              <w:ind w:left="0"/>
              <w:jc w:val="both"/>
              <w:rPr>
                <w:rFonts w:ascii="Garamond" w:hAnsi="Garamond"/>
                <w:bCs/>
                <w:sz w:val="24"/>
                <w:szCs w:val="24"/>
              </w:rPr>
            </w:pPr>
            <w:r w:rsidRPr="00C87A6C">
              <w:rPr>
                <w:rFonts w:ascii="Garamond" w:hAnsi="Garamond"/>
                <w:sz w:val="24"/>
                <w:szCs w:val="24"/>
              </w:rPr>
              <w:t>Right Arm + Leg</w:t>
            </w:r>
          </w:p>
        </w:tc>
        <w:tc>
          <w:tcPr>
            <w:tcW w:w="1890" w:type="dxa"/>
          </w:tcPr>
          <w:p w14:paraId="3CD036BB" w14:textId="7C40813C"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0.9924 / 0.9454</w:t>
            </w:r>
          </w:p>
        </w:tc>
        <w:tc>
          <w:tcPr>
            <w:tcW w:w="2340" w:type="dxa"/>
          </w:tcPr>
          <w:p w14:paraId="1AD087BE" w14:textId="51AADF1F"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0.0546 / 0.0916</w:t>
            </w:r>
          </w:p>
        </w:tc>
        <w:tc>
          <w:tcPr>
            <w:tcW w:w="2340" w:type="dxa"/>
          </w:tcPr>
          <w:p w14:paraId="4CF43567" w14:textId="233E79B6" w:rsidR="003D2EE9" w:rsidRPr="00C87A6C" w:rsidRDefault="003D2EE9" w:rsidP="003D2EE9">
            <w:pPr>
              <w:pStyle w:val="ListParagraph"/>
              <w:ind w:left="0"/>
              <w:jc w:val="center"/>
              <w:rPr>
                <w:rFonts w:ascii="Garamond" w:hAnsi="Garamond"/>
                <w:bCs/>
                <w:sz w:val="24"/>
                <w:szCs w:val="24"/>
              </w:rPr>
            </w:pPr>
            <w:r w:rsidRPr="00C87A6C">
              <w:rPr>
                <w:rFonts w:ascii="Garamond" w:hAnsi="Garamond"/>
                <w:sz w:val="24"/>
                <w:szCs w:val="24"/>
              </w:rPr>
              <w:t>0.0383 / 0.0699</w:t>
            </w:r>
          </w:p>
        </w:tc>
      </w:tr>
    </w:tbl>
    <w:p w14:paraId="17387435" w14:textId="5014D499" w:rsidR="00015737" w:rsidRPr="00C87A6C"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 xml:space="preserve">For the Walk activity, both models achieve consistently high accuracy (≈0.97–1.00) and F1-scores (≈0.94–0.95) across all occlusions, indicating that simple and periodic motions are robust to reconstruction errors. The difference between the two models is not statistically significant (p &gt; 0.05). However, for </w:t>
      </w:r>
      <w:proofErr w:type="spellStart"/>
      <w:r w:rsidRPr="00C87A6C">
        <w:rPr>
          <w:rFonts w:ascii="Garamond" w:hAnsi="Garamond"/>
          <w:bCs/>
          <w:sz w:val="24"/>
          <w:szCs w:val="24"/>
        </w:rPr>
        <w:t>SitDown</w:t>
      </w:r>
      <w:proofErr w:type="spellEnd"/>
      <w:r w:rsidRPr="00C87A6C">
        <w:rPr>
          <w:rFonts w:ascii="Garamond" w:hAnsi="Garamond"/>
          <w:bCs/>
          <w:sz w:val="24"/>
          <w:szCs w:val="24"/>
        </w:rPr>
        <w:t xml:space="preserve"> and </w:t>
      </w:r>
      <w:proofErr w:type="spellStart"/>
      <w:r w:rsidRPr="00C87A6C">
        <w:rPr>
          <w:rFonts w:ascii="Garamond" w:hAnsi="Garamond"/>
          <w:bCs/>
          <w:sz w:val="24"/>
          <w:szCs w:val="24"/>
        </w:rPr>
        <w:t>StandUp</w:t>
      </w:r>
      <w:proofErr w:type="spellEnd"/>
      <w:r w:rsidRPr="00C87A6C">
        <w:rPr>
          <w:rFonts w:ascii="Garamond" w:hAnsi="Garamond"/>
          <w:bCs/>
          <w:sz w:val="24"/>
          <w:szCs w:val="24"/>
        </w:rPr>
        <w:t xml:space="preserve"> activities, the performance gap is substantial. The CRNN-</w:t>
      </w:r>
      <w:proofErr w:type="spellStart"/>
      <w:r w:rsidRPr="00C87A6C">
        <w:rPr>
          <w:rFonts w:ascii="Garamond" w:hAnsi="Garamond"/>
          <w:bCs/>
          <w:sz w:val="24"/>
          <w:szCs w:val="24"/>
        </w:rPr>
        <w:t>BiLSTM</w:t>
      </w:r>
      <w:proofErr w:type="spellEnd"/>
      <w:r w:rsidRPr="00C87A6C">
        <w:rPr>
          <w:rFonts w:ascii="Garamond" w:hAnsi="Garamond"/>
          <w:bCs/>
          <w:sz w:val="24"/>
          <w:szCs w:val="24"/>
        </w:rPr>
        <w:t xml:space="preserve"> model shows very low or near-zero results in several cases, especially under severe occlusion (e.g., both arms, both legs). In contrast, the Transformer-based model consistently improves performance, achieving noticeable gains (e.g., </w:t>
      </w:r>
      <w:proofErr w:type="spellStart"/>
      <w:r w:rsidRPr="00C87A6C">
        <w:rPr>
          <w:rFonts w:ascii="Garamond" w:hAnsi="Garamond"/>
          <w:bCs/>
          <w:sz w:val="24"/>
          <w:szCs w:val="24"/>
        </w:rPr>
        <w:t>SitDown</w:t>
      </w:r>
      <w:proofErr w:type="spellEnd"/>
      <w:r w:rsidRPr="00C87A6C">
        <w:rPr>
          <w:rFonts w:ascii="Garamond" w:hAnsi="Garamond"/>
          <w:bCs/>
          <w:sz w:val="24"/>
          <w:szCs w:val="24"/>
        </w:rPr>
        <w:t xml:space="preserve"> up to ~0.21 and </w:t>
      </w:r>
      <w:proofErr w:type="spellStart"/>
      <w:r w:rsidRPr="00C87A6C">
        <w:rPr>
          <w:rFonts w:ascii="Garamond" w:hAnsi="Garamond"/>
          <w:bCs/>
          <w:sz w:val="24"/>
          <w:szCs w:val="24"/>
        </w:rPr>
        <w:t>StandUp</w:t>
      </w:r>
      <w:proofErr w:type="spellEnd"/>
      <w:r w:rsidRPr="00C87A6C">
        <w:rPr>
          <w:rFonts w:ascii="Garamond" w:hAnsi="Garamond"/>
          <w:bCs/>
          <w:sz w:val="24"/>
          <w:szCs w:val="24"/>
        </w:rPr>
        <w:t xml:space="preserve"> up to ~0.25 accuracy). Statistical testing using a paired t-test confirms that these improvements are significant (p &lt; 0.05) for </w:t>
      </w:r>
      <w:proofErr w:type="spellStart"/>
      <w:r w:rsidRPr="00C87A6C">
        <w:rPr>
          <w:rFonts w:ascii="Garamond" w:hAnsi="Garamond"/>
          <w:bCs/>
          <w:sz w:val="24"/>
          <w:szCs w:val="24"/>
        </w:rPr>
        <w:t>SitDown</w:t>
      </w:r>
      <w:proofErr w:type="spellEnd"/>
      <w:r w:rsidRPr="00C87A6C">
        <w:rPr>
          <w:rFonts w:ascii="Garamond" w:hAnsi="Garamond"/>
          <w:bCs/>
          <w:sz w:val="24"/>
          <w:szCs w:val="24"/>
        </w:rPr>
        <w:t xml:space="preserve"> and highly significant (p &lt; 0.01) for </w:t>
      </w:r>
      <w:proofErr w:type="spellStart"/>
      <w:r w:rsidRPr="00C87A6C">
        <w:rPr>
          <w:rFonts w:ascii="Garamond" w:hAnsi="Garamond"/>
          <w:bCs/>
          <w:sz w:val="24"/>
          <w:szCs w:val="24"/>
        </w:rPr>
        <w:t>StandUp</w:t>
      </w:r>
      <w:proofErr w:type="spellEnd"/>
      <w:r w:rsidRPr="00C87A6C">
        <w:rPr>
          <w:rFonts w:ascii="Garamond" w:hAnsi="Garamond"/>
          <w:bCs/>
          <w:sz w:val="24"/>
          <w:szCs w:val="24"/>
        </w:rPr>
        <w:t>. This demonstrates that the Transformer model more effectively reconstructs complex motion patterns and preserves discriminative features required for classification. Overall, while both models perform similarly for simple activities, the Transformer-based GAN significantly outperforms the CRNN-</w:t>
      </w:r>
      <w:proofErr w:type="spellStart"/>
      <w:r w:rsidRPr="00C87A6C">
        <w:rPr>
          <w:rFonts w:ascii="Garamond" w:hAnsi="Garamond"/>
          <w:bCs/>
          <w:sz w:val="24"/>
          <w:szCs w:val="24"/>
        </w:rPr>
        <w:t>BiLSTM</w:t>
      </w:r>
      <w:proofErr w:type="spellEnd"/>
      <w:r w:rsidRPr="00C87A6C">
        <w:rPr>
          <w:rFonts w:ascii="Garamond" w:hAnsi="Garamond"/>
          <w:bCs/>
          <w:sz w:val="24"/>
          <w:szCs w:val="24"/>
        </w:rPr>
        <w:t xml:space="preserve"> GAN in complex and highly occluded scenarios, making it more suitable for robust HAR systems.</w:t>
      </w:r>
    </w:p>
    <w:p w14:paraId="3C934E2B" w14:textId="3F44386A" w:rsidR="00015737" w:rsidRPr="00C87A6C" w:rsidRDefault="00015737" w:rsidP="00015737">
      <w:pPr>
        <w:pStyle w:val="ListParagraph"/>
        <w:spacing w:after="0" w:line="240" w:lineRule="auto"/>
        <w:ind w:left="0"/>
        <w:jc w:val="both"/>
        <w:rPr>
          <w:rFonts w:ascii="Garamond" w:hAnsi="Garamond"/>
          <w:bCs/>
          <w:sz w:val="24"/>
          <w:szCs w:val="24"/>
        </w:rPr>
      </w:pPr>
      <w:r w:rsidRPr="00C87A6C">
        <w:rPr>
          <w:rFonts w:ascii="Garamond" w:hAnsi="Garamond"/>
          <w:b/>
          <w:sz w:val="24"/>
          <w:szCs w:val="24"/>
        </w:rPr>
        <w:t>Comparative Discussion and Insights</w:t>
      </w:r>
      <w:r w:rsidR="00470529" w:rsidRPr="00C87A6C">
        <w:rPr>
          <w:rFonts w:ascii="Garamond" w:hAnsi="Garamond"/>
          <w:b/>
          <w:sz w:val="24"/>
          <w:szCs w:val="24"/>
        </w:rPr>
        <w:t>:</w:t>
      </w:r>
    </w:p>
    <w:p w14:paraId="7A2A8DD3" w14:textId="0B5C1D1E" w:rsidR="00015737" w:rsidRPr="00C87A6C"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 xml:space="preserve">The experimental findings, when analyzed in the context of recent literature, provide deeper insights into the effectiveness of the proposed models. Existing studies highlight that skeleton-based HAR is inherently robust and efficient due to its compact representation </w:t>
      </w:r>
      <w:r w:rsidR="00781D2A" w:rsidRPr="00C87A6C">
        <w:rPr>
          <w:rFonts w:ascii="Garamond" w:hAnsi="Garamond"/>
          <w:bCs/>
          <w:sz w:val="24"/>
          <w:szCs w:val="24"/>
        </w:rPr>
        <w:fldChar w:fldCharType="begin" w:fldLock="1"/>
      </w:r>
      <w:r w:rsidR="00781D2A" w:rsidRPr="00C87A6C">
        <w:rPr>
          <w:rFonts w:ascii="Garamond" w:hAnsi="Garamond"/>
          <w:bCs/>
          <w:sz w:val="24"/>
          <w:szCs w:val="24"/>
        </w:rPr>
        <w:instrText>ADDIN CSL_CITATION {"citationItems":[{"id":"ITEM-1","itemData":{"DOI":"10.1109/TPAMI.2022.3183112","ISSN":"19393539","PMID":"35700242","abstract":"Human Action Recognition (HAR) aims to understand human behavior and assign a label to each action. It has a wide range of applications, and therefore has been attracting increasing attention in the field of computer vision. Human actions can be represented using various data modalities, such as RGB, skeleton, depth, infrared, point cloud, event stream, audio, acceleration, radar, and WiFi signal, which encode different sources of useful yet distinct information and have various advantages depending on the application scenarios. Consequently, lots of existing works have attempted to investigate different types of approaches for HAR using various modalities. In this article, we present a comprehensive survey of recent progress in deep learning methods for HAR based on the type of input data modality. Specifically, we review the current mainstream deep learning methods for single data modalities and multiple data modalities, including the fusion-based and the co-learning-based frameworks. We also present comparative results on several benchmark datasets for HAR, together with insightful observations and inspiring future research directions.","author":[{"dropping-particle":"","family":"Sun","given":"Zehua","non-dropping-particle":"","parse-names":false,"suffix":""},{"dropping-particle":"","family":"Ke","given":"Qiuhong","non-dropping-particle":"","parse-names":false,"suffix":""},{"dropping-particle":"","family":"Rahmani","given":"Hossein","non-dropping-particle":"","parse-names":false,"suffix":""},{"dropping-particle":"","family":"Bennamoun","given":"Mohammed","non-dropping-particle":"","parse-names":false,"suffix":""},{"dropping-particle":"","family":"Wang","given":"Gang","non-dropping-particle":"","parse-names":false,"suffix":""},{"dropping-particle":"","family":"Liu","given":"Jun","non-dropping-particle":"","parse-names":false,"suffix":""}],"container-title":"IEEE Transactions on Pattern Analysis and Machine Intelligence","id":"ITEM-1","issue":"3","issued":{"date-parts":[["2023","3","1"]]},"page":"3200-3225","publisher":"IEEE Computer Society","title":"Human Action Recognition From Various Data Modalities: A Review","type":"article-journal","volume":"45"},"uris":["http://www.mendeley.com/documents/?uuid=05546c0c-16af-3f20-98e0-016f34f7ab38"]}],"mendeley":{"formattedCitation":"[1]","plainTextFormattedCitation":"[1]","previouslyFormattedCitation":"[1]"},"properties":{"noteIndex":0},"schema":"https://github.com/citation-style-language/schema/raw/master/csl-citation.json"}</w:instrText>
      </w:r>
      <w:r w:rsidR="00781D2A" w:rsidRPr="00C87A6C">
        <w:rPr>
          <w:rFonts w:ascii="Garamond" w:hAnsi="Garamond"/>
          <w:bCs/>
          <w:sz w:val="24"/>
          <w:szCs w:val="24"/>
        </w:rPr>
        <w:fldChar w:fldCharType="separate"/>
      </w:r>
      <w:r w:rsidR="00781D2A" w:rsidRPr="00C87A6C">
        <w:rPr>
          <w:rFonts w:ascii="Garamond" w:hAnsi="Garamond"/>
          <w:bCs/>
          <w:noProof/>
          <w:sz w:val="24"/>
          <w:szCs w:val="24"/>
        </w:rPr>
        <w:t>[1]</w:t>
      </w:r>
      <w:r w:rsidR="00781D2A" w:rsidRPr="00C87A6C">
        <w:rPr>
          <w:rFonts w:ascii="Garamond" w:hAnsi="Garamond"/>
          <w:bCs/>
          <w:sz w:val="24"/>
          <w:szCs w:val="24"/>
        </w:rPr>
        <w:fldChar w:fldCharType="end"/>
      </w:r>
      <w:r w:rsidRPr="00C87A6C">
        <w:rPr>
          <w:rFonts w:ascii="Garamond" w:hAnsi="Garamond"/>
          <w:bCs/>
          <w:sz w:val="24"/>
          <w:szCs w:val="24"/>
        </w:rPr>
        <w:t xml:space="preserve">, yet it remains highly vulnerable to occlusion, particularly when critical joints such as arms are missing </w:t>
      </w:r>
      <w:r w:rsidR="00781D2A" w:rsidRPr="00C87A6C">
        <w:rPr>
          <w:rFonts w:ascii="Garamond" w:hAnsi="Garamond"/>
          <w:bCs/>
          <w:sz w:val="24"/>
          <w:szCs w:val="24"/>
        </w:rPr>
        <w:fldChar w:fldCharType="begin" w:fldLock="1"/>
      </w:r>
      <w:r w:rsidR="00781D2A" w:rsidRPr="00C87A6C">
        <w:rPr>
          <w:rFonts w:ascii="Garamond" w:hAnsi="Garamond"/>
          <w:bCs/>
          <w:sz w:val="24"/>
          <w:szCs w:val="24"/>
        </w:rPr>
        <w:instrText>ADDIN CSL_CITATION {"citationItems":[{"id":"ITEM-1","itemData":{"author":[{"dropping-particle":"","family":"Ilias Giannakos, Eirini Mathe","given":"","non-dropping-particle":"","parse-names":false,"suffix":""}],"container-title":"ACM International Conference Proceeding Series","id":"ITEM-1","issued":{"date-parts":[["2021"]]},"title":"A study on the Effect of Occlusion in Human Activity Recognition","type":"article-journal"},"uris":["http://www.mendeley.com/documents/?uuid=f60eb3e7-a2e5-4385-bf07-264efcd55f7c"]}],"mendeley":{"formattedCitation":"[3]","plainTextFormattedCitation":"[3]","previouslyFormattedCitation":"[3]"},"properties":{"noteIndex":0},"schema":"https://github.com/citation-style-language/schema/raw/master/csl-citation.json"}</w:instrText>
      </w:r>
      <w:r w:rsidR="00781D2A" w:rsidRPr="00C87A6C">
        <w:rPr>
          <w:rFonts w:ascii="Garamond" w:hAnsi="Garamond"/>
          <w:bCs/>
          <w:sz w:val="24"/>
          <w:szCs w:val="24"/>
        </w:rPr>
        <w:fldChar w:fldCharType="separate"/>
      </w:r>
      <w:r w:rsidR="00781D2A" w:rsidRPr="00C87A6C">
        <w:rPr>
          <w:rFonts w:ascii="Garamond" w:hAnsi="Garamond"/>
          <w:bCs/>
          <w:noProof/>
          <w:sz w:val="24"/>
          <w:szCs w:val="24"/>
        </w:rPr>
        <w:t>[3]</w:t>
      </w:r>
      <w:r w:rsidR="00781D2A" w:rsidRPr="00C87A6C">
        <w:rPr>
          <w:rFonts w:ascii="Garamond" w:hAnsi="Garamond"/>
          <w:bCs/>
          <w:sz w:val="24"/>
          <w:szCs w:val="24"/>
        </w:rPr>
        <w:fldChar w:fldCharType="end"/>
      </w:r>
      <w:r w:rsidRPr="00C87A6C">
        <w:rPr>
          <w:rFonts w:ascii="Garamond" w:hAnsi="Garamond"/>
          <w:bCs/>
          <w:sz w:val="24"/>
          <w:szCs w:val="24"/>
        </w:rPr>
        <w:t>. This limitation is evident in our results, where complex activities (</w:t>
      </w:r>
      <w:proofErr w:type="spellStart"/>
      <w:r w:rsidRPr="00C87A6C">
        <w:rPr>
          <w:rFonts w:ascii="Garamond" w:hAnsi="Garamond"/>
          <w:bCs/>
          <w:i/>
          <w:iCs/>
          <w:sz w:val="24"/>
          <w:szCs w:val="24"/>
        </w:rPr>
        <w:t>SitDown</w:t>
      </w:r>
      <w:proofErr w:type="spellEnd"/>
      <w:r w:rsidRPr="00C87A6C">
        <w:rPr>
          <w:rFonts w:ascii="Garamond" w:hAnsi="Garamond"/>
          <w:bCs/>
          <w:sz w:val="24"/>
          <w:szCs w:val="24"/>
        </w:rPr>
        <w:t xml:space="preserve">, </w:t>
      </w:r>
      <w:proofErr w:type="spellStart"/>
      <w:r w:rsidRPr="00C87A6C">
        <w:rPr>
          <w:rFonts w:ascii="Garamond" w:hAnsi="Garamond"/>
          <w:bCs/>
          <w:i/>
          <w:iCs/>
          <w:sz w:val="24"/>
          <w:szCs w:val="24"/>
        </w:rPr>
        <w:t>StandUp</w:t>
      </w:r>
      <w:proofErr w:type="spellEnd"/>
      <w:r w:rsidRPr="00C87A6C">
        <w:rPr>
          <w:rFonts w:ascii="Garamond" w:hAnsi="Garamond"/>
          <w:bCs/>
          <w:sz w:val="24"/>
          <w:szCs w:val="24"/>
        </w:rPr>
        <w:t>) show significant performance degradation under severe occlusion, especially for CRNN-based reconstruction.</w:t>
      </w:r>
    </w:p>
    <w:p w14:paraId="4D8FDF6C" w14:textId="20F1AA56" w:rsidR="00015737" w:rsidRPr="00C87A6C"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 xml:space="preserve">Earlier CNN-based skeleton encoding methods (e.g., JTM, SOS, JDM) demonstrate strong performance under complete data but fail to generalize under occlusion, as they assume full joint availability. Similarly, regression-based CRNN approaches improve reconstruction but lack realism and struggle with severe occlusion. GAN-based CRNN frameworks address this limitation by generating more realistic skeletons </w:t>
      </w:r>
      <w:r w:rsidR="00781D2A" w:rsidRPr="00C87A6C">
        <w:rPr>
          <w:rFonts w:ascii="Garamond" w:hAnsi="Garamond"/>
          <w:bCs/>
          <w:sz w:val="24"/>
          <w:szCs w:val="24"/>
        </w:rPr>
        <w:fldChar w:fldCharType="begin" w:fldLock="1"/>
      </w:r>
      <w:r w:rsidR="00781D2A" w:rsidRPr="00C87A6C">
        <w:rPr>
          <w:rFonts w:ascii="Garamond" w:hAnsi="Garamond"/>
          <w:bCs/>
          <w:sz w:val="24"/>
          <w:szCs w:val="24"/>
        </w:rPr>
        <w:instrText>ADDIN CSL_CITATION {"citationItems":[{"id":"ITEM-1","itemData":{"DOI":"https://doi.org/10.3390/s25051567","author":[{"dropping-particle":"","family":"Rubén San-Segundo, Fernando Fernández-Martínez","given":"","non-dropping-particle":"","parse-names":false,"suffix":""}],"container-title":"Sensors","id":"ITEM-1","issue":"5","issued":{"date-parts":[["2025"]]},"page":"1567","title":"Skeleton Reconstruction Using Generative Adversarial Networks for Human Activity Recognition Under Occlusion","type":"article-journal","volume":"25"},"uris":["http://www.mendeley.com/documents/?uuid=fcd96bf5-28cd-47f7-8099-3321dd7d5800"]}],"mendeley":{"formattedCitation":"[4]","plainTextFormattedCitation":"[4]","previouslyFormattedCitation":"[4]"},"properties":{"noteIndex":0},"schema":"https://github.com/citation-style-language/schema/raw/master/csl-citation.json"}</w:instrText>
      </w:r>
      <w:r w:rsidR="00781D2A" w:rsidRPr="00C87A6C">
        <w:rPr>
          <w:rFonts w:ascii="Garamond" w:hAnsi="Garamond"/>
          <w:bCs/>
          <w:sz w:val="24"/>
          <w:szCs w:val="24"/>
        </w:rPr>
        <w:fldChar w:fldCharType="separate"/>
      </w:r>
      <w:r w:rsidR="00781D2A" w:rsidRPr="00C87A6C">
        <w:rPr>
          <w:rFonts w:ascii="Garamond" w:hAnsi="Garamond"/>
          <w:bCs/>
          <w:noProof/>
          <w:sz w:val="24"/>
          <w:szCs w:val="24"/>
        </w:rPr>
        <w:t>[4]</w:t>
      </w:r>
      <w:r w:rsidR="00781D2A" w:rsidRPr="00C87A6C">
        <w:rPr>
          <w:rFonts w:ascii="Garamond" w:hAnsi="Garamond"/>
          <w:bCs/>
          <w:sz w:val="24"/>
          <w:szCs w:val="24"/>
        </w:rPr>
        <w:fldChar w:fldCharType="end"/>
      </w:r>
      <w:r w:rsidRPr="00C87A6C">
        <w:rPr>
          <w:rFonts w:ascii="Garamond" w:hAnsi="Garamond"/>
          <w:bCs/>
          <w:sz w:val="24"/>
          <w:szCs w:val="24"/>
        </w:rPr>
        <w:t>; however, they still rely on local temporal modeling, which restricts their ability to capture long-range dependencies.</w:t>
      </w:r>
    </w:p>
    <w:p w14:paraId="237B112C" w14:textId="5D214396" w:rsidR="00015737" w:rsidRPr="00C87A6C"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The results of this study strongly support these observations. The CRNN-</w:t>
      </w:r>
      <w:proofErr w:type="spellStart"/>
      <w:r w:rsidRPr="00C87A6C">
        <w:rPr>
          <w:rFonts w:ascii="Garamond" w:hAnsi="Garamond"/>
          <w:bCs/>
          <w:sz w:val="24"/>
          <w:szCs w:val="24"/>
        </w:rPr>
        <w:t>BiLSTM</w:t>
      </w:r>
      <w:proofErr w:type="spellEnd"/>
      <w:r w:rsidRPr="00C87A6C">
        <w:rPr>
          <w:rFonts w:ascii="Garamond" w:hAnsi="Garamond"/>
          <w:bCs/>
          <w:sz w:val="24"/>
          <w:szCs w:val="24"/>
        </w:rPr>
        <w:t xml:space="preserve"> model shows competitive performance for simple and periodic activities such as </w:t>
      </w:r>
      <w:r w:rsidR="00CC5840" w:rsidRPr="00C87A6C">
        <w:rPr>
          <w:rFonts w:ascii="Garamond" w:hAnsi="Garamond"/>
          <w:bCs/>
          <w:i/>
          <w:iCs/>
          <w:sz w:val="24"/>
          <w:szCs w:val="24"/>
        </w:rPr>
        <w:t>walking</w:t>
      </w:r>
      <w:r w:rsidRPr="00C87A6C">
        <w:rPr>
          <w:rFonts w:ascii="Garamond" w:hAnsi="Garamond"/>
          <w:bCs/>
          <w:sz w:val="24"/>
          <w:szCs w:val="24"/>
        </w:rPr>
        <w:t xml:space="preserve">, where local temporal patterns are sufficient. However, its performance drops significantly for complex actions, confirming the limitations reported in prior work. In contrast, the Transformer-based model consistently achieves better classification performance in these challenging scenarios. This improvement aligns with recent findings that Transformers outperform traditional architectures by effectively modeling global spatial–temporal relationships and distal joint dependencies </w:t>
      </w:r>
      <w:r w:rsidR="00781D2A" w:rsidRPr="00C87A6C">
        <w:rPr>
          <w:rFonts w:ascii="Garamond" w:hAnsi="Garamond"/>
          <w:bCs/>
          <w:sz w:val="24"/>
          <w:szCs w:val="24"/>
        </w:rPr>
        <w:fldChar w:fldCharType="begin" w:fldLock="1"/>
      </w:r>
      <w:r w:rsidR="00781D2A" w:rsidRPr="00C87A6C">
        <w:rPr>
          <w:rFonts w:ascii="Garamond" w:hAnsi="Garamond"/>
          <w:bCs/>
          <w:sz w:val="24"/>
          <w:szCs w:val="24"/>
        </w:rPr>
        <w:instrText>ADDIN CSL_CITATION {"citationItems":[{"id":"ITEM-1","itemData":{"DOI":"https://doi.org/10.1016/j.neucom.2023.03.001","author":[{"dropping-particle":"","family":"Wentian Xin, Ruyi Liu","given":"","non-dropping-particle":"","parse-names":false,"suffix":""}],"container-title":"Neurocomputing","id":"ITEM-1","issued":{"date-parts":[["2023"]]},"page":"164-186","title":"Transformer for Skeleton-based action recognition: A review of recent advances","type":"article-journal","volume":"537"},"uris":["http://www.mendeley.com/documents/?uuid=153c5aa4-03bf-4eb4-9043-222654c9803b"]}],"mendeley":{"formattedCitation":"[8]","plainTextFormattedCitation":"[8]","previouslyFormattedCitation":"[8]"},"properties":{"noteIndex":0},"schema":"https://github.com/citation-style-language/schema/raw/master/csl-citation.json"}</w:instrText>
      </w:r>
      <w:r w:rsidR="00781D2A" w:rsidRPr="00C87A6C">
        <w:rPr>
          <w:rFonts w:ascii="Garamond" w:hAnsi="Garamond"/>
          <w:bCs/>
          <w:sz w:val="24"/>
          <w:szCs w:val="24"/>
        </w:rPr>
        <w:fldChar w:fldCharType="separate"/>
      </w:r>
      <w:r w:rsidR="00781D2A" w:rsidRPr="00C87A6C">
        <w:rPr>
          <w:rFonts w:ascii="Garamond" w:hAnsi="Garamond"/>
          <w:bCs/>
          <w:noProof/>
          <w:sz w:val="24"/>
          <w:szCs w:val="24"/>
        </w:rPr>
        <w:t>[8]</w:t>
      </w:r>
      <w:r w:rsidR="00781D2A" w:rsidRPr="00C87A6C">
        <w:rPr>
          <w:rFonts w:ascii="Garamond" w:hAnsi="Garamond"/>
          <w:bCs/>
          <w:sz w:val="24"/>
          <w:szCs w:val="24"/>
        </w:rPr>
        <w:fldChar w:fldCharType="end"/>
      </w:r>
      <w:r w:rsidRPr="00C87A6C">
        <w:rPr>
          <w:rFonts w:ascii="Garamond" w:hAnsi="Garamond"/>
          <w:bCs/>
          <w:sz w:val="24"/>
          <w:szCs w:val="24"/>
        </w:rPr>
        <w:t>.</w:t>
      </w:r>
    </w:p>
    <w:p w14:paraId="434E7DC8" w14:textId="78CA1E72" w:rsidR="00015737" w:rsidRPr="00C87A6C"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 xml:space="preserve">Furthermore, recent advancements such as attention mechanisms </w:t>
      </w:r>
      <w:r w:rsidR="00781D2A" w:rsidRPr="00C87A6C">
        <w:rPr>
          <w:rFonts w:ascii="Garamond" w:hAnsi="Garamond"/>
          <w:bCs/>
          <w:sz w:val="24"/>
          <w:szCs w:val="24"/>
        </w:rPr>
        <w:fldChar w:fldCharType="begin" w:fldLock="1"/>
      </w:r>
      <w:r w:rsidR="00781D2A" w:rsidRPr="00C87A6C">
        <w:rPr>
          <w:rFonts w:ascii="Garamond" w:hAnsi="Garamond"/>
          <w:bCs/>
          <w:sz w:val="24"/>
          <w:szCs w:val="24"/>
        </w:rPr>
        <w:instrText>ADDIN CSL_CITATION {"citationItems":[{"id":"ITEM-1","itemData":{"DOI":"https://doi.org/10.1016/j.patcog.2023.109428","author":[{"dropping-particle":"","family":"Bahareh Nikpour, Narges Armanfard","given":"","non-dropping-particle":"","parse-names":false,"suffix":""}],"container-title":"Pattern Recognition","id":"ITEM-1","issued":{"date-parts":[["2023"]]},"page":"109428","title":"Spatio-temporal hard attention learning for skeleton-based activity recognition","type":"article-journal","volume":"139"},"uris":["http://www.mendeley.com/documents/?uuid=8eacd182-6182-45bc-b742-cac63e3072c5"]}],"mendeley":{"formattedCitation":"[6]","plainTextFormattedCitation":"[6]","previouslyFormattedCitation":"[6]"},"properties":{"noteIndex":0},"schema":"https://github.com/citation-style-language/schema/raw/master/csl-citation.json"}</w:instrText>
      </w:r>
      <w:r w:rsidR="00781D2A" w:rsidRPr="00C87A6C">
        <w:rPr>
          <w:rFonts w:ascii="Garamond" w:hAnsi="Garamond"/>
          <w:bCs/>
          <w:sz w:val="24"/>
          <w:szCs w:val="24"/>
        </w:rPr>
        <w:fldChar w:fldCharType="separate"/>
      </w:r>
      <w:r w:rsidR="00781D2A" w:rsidRPr="00C87A6C">
        <w:rPr>
          <w:rFonts w:ascii="Garamond" w:hAnsi="Garamond"/>
          <w:bCs/>
          <w:noProof/>
          <w:sz w:val="24"/>
          <w:szCs w:val="24"/>
        </w:rPr>
        <w:t>[6]</w:t>
      </w:r>
      <w:r w:rsidR="00781D2A" w:rsidRPr="00C87A6C">
        <w:rPr>
          <w:rFonts w:ascii="Garamond" w:hAnsi="Garamond"/>
          <w:bCs/>
          <w:sz w:val="24"/>
          <w:szCs w:val="24"/>
        </w:rPr>
        <w:fldChar w:fldCharType="end"/>
      </w:r>
      <w:r w:rsidR="00781D2A" w:rsidRPr="00C87A6C">
        <w:rPr>
          <w:rFonts w:ascii="Garamond" w:hAnsi="Garamond"/>
          <w:bCs/>
          <w:sz w:val="24"/>
          <w:szCs w:val="24"/>
        </w:rPr>
        <w:fldChar w:fldCharType="begin" w:fldLock="1"/>
      </w:r>
      <w:r w:rsidR="00781D2A" w:rsidRPr="00C87A6C">
        <w:rPr>
          <w:rFonts w:ascii="Garamond" w:hAnsi="Garamond"/>
          <w:bCs/>
          <w:sz w:val="24"/>
          <w:szCs w:val="24"/>
        </w:rPr>
        <w:instrText>ADDIN CSL_CITATION {"citationItems":[{"id":"ITEM-1","itemData":{"DOI":"10.1007/S10044-023-01179-3","ISSN":"1433-755X","abstract":"Human body skeleton, acting as a spatiotemporal graph, is the key inspiration for researchers to implement a GCN-based method for action recognition. Most recently proposed GCN-based techniques combine convolutions with a self-attention mechanism to extract the most informative joint of a human skeleton and increase the model accuracy. However, the traditional multi-head attention method absorbed all attention heads equally, whereas in most situations, especially for extended skeleton sequences, not all attention heads are expected. Therefore, we present a spatial–temporal gated graph attention network (ST-GGANet) to learn the spatial–temporal patterns of skeleton sequences. The proposed approach uses a lightweight self-attention-based gate layer to pay attention to the important body parts or joints of human skeleton sequences. Experiments show that by introducing an additional gate layer, which controls the significance of each attention head, the proposed model achieved better action classification results while keeping computational cost low. The proposed framework has been evaluated on well-known publicly available large-scale datasets NTU60, NTU120, and Kinetics-400, which notably outperforms state-of-the-art (SOTA) results with an accuracy of 96.5%, 87.3%, and 60.4%, respectively.","author":[{"dropping-particle":"","family":"Rahevar","given":"Mrugendrasinh","non-dropping-particle":"","parse-names":false,"suffix":""},{"dropping-particle":"","family":"Ganatra","given":"Amit","non-dropping-particle":"","parse-names":false,"suffix":""}],"container-title":"Pattern Analysis and Applications 2023 26:3","id":"ITEM-1","issue":"3","issued":{"date-parts":[["2023","6","22"]]},"page":"929-939","publisher":"Springer","title":"Spatial–Temporal gated graph attention network for skeleton-based action recognition","type":"article-journal","volume":"26"},"uris":["http://www.mendeley.com/documents/?uuid=ec57b77e-7e2a-3b42-9b12-66807061b78d"]}],"mendeley":{"formattedCitation":"[7]","plainTextFormattedCitation":"[7]","previouslyFormattedCitation":"[7]"},"properties":{"noteIndex":0},"schema":"https://github.com/citation-style-language/schema/raw/master/csl-citation.json"}</w:instrText>
      </w:r>
      <w:r w:rsidR="00781D2A" w:rsidRPr="00C87A6C">
        <w:rPr>
          <w:rFonts w:ascii="Garamond" w:hAnsi="Garamond"/>
          <w:bCs/>
          <w:sz w:val="24"/>
          <w:szCs w:val="24"/>
        </w:rPr>
        <w:fldChar w:fldCharType="separate"/>
      </w:r>
      <w:r w:rsidR="00781D2A" w:rsidRPr="00C87A6C">
        <w:rPr>
          <w:rFonts w:ascii="Garamond" w:hAnsi="Garamond"/>
          <w:bCs/>
          <w:noProof/>
          <w:sz w:val="24"/>
          <w:szCs w:val="24"/>
        </w:rPr>
        <w:t>[7]</w:t>
      </w:r>
      <w:r w:rsidR="00781D2A" w:rsidRPr="00C87A6C">
        <w:rPr>
          <w:rFonts w:ascii="Garamond" w:hAnsi="Garamond"/>
          <w:bCs/>
          <w:sz w:val="24"/>
          <w:szCs w:val="24"/>
        </w:rPr>
        <w:fldChar w:fldCharType="end"/>
      </w:r>
      <w:r w:rsidRPr="00C87A6C">
        <w:rPr>
          <w:rFonts w:ascii="Garamond" w:hAnsi="Garamond"/>
          <w:bCs/>
          <w:sz w:val="24"/>
          <w:szCs w:val="24"/>
        </w:rPr>
        <w:t xml:space="preserve"> and </w:t>
      </w:r>
      <w:proofErr w:type="spellStart"/>
      <w:r w:rsidRPr="00C87A6C">
        <w:rPr>
          <w:rFonts w:ascii="Garamond" w:hAnsi="Garamond"/>
          <w:bCs/>
          <w:sz w:val="24"/>
          <w:szCs w:val="24"/>
        </w:rPr>
        <w:t>amodal</w:t>
      </w:r>
      <w:proofErr w:type="spellEnd"/>
      <w:r w:rsidRPr="00C87A6C">
        <w:rPr>
          <w:rFonts w:ascii="Garamond" w:hAnsi="Garamond"/>
          <w:bCs/>
          <w:sz w:val="24"/>
          <w:szCs w:val="24"/>
        </w:rPr>
        <w:t xml:space="preserve"> reasoning techniques </w:t>
      </w:r>
      <w:r w:rsidR="00781D2A" w:rsidRPr="00C87A6C">
        <w:rPr>
          <w:rFonts w:ascii="Garamond" w:hAnsi="Garamond"/>
          <w:bCs/>
          <w:sz w:val="24"/>
          <w:szCs w:val="24"/>
        </w:rPr>
        <w:fldChar w:fldCharType="begin" w:fldLock="1"/>
      </w:r>
      <w:r w:rsidR="00781D2A" w:rsidRPr="00C87A6C">
        <w:rPr>
          <w:rFonts w:ascii="Garamond" w:hAnsi="Garamond"/>
          <w:bCs/>
          <w:sz w:val="24"/>
          <w:szCs w:val="24"/>
        </w:rPr>
        <w:instrText>ADDIN CSL_CITATION {"citationItems":[{"id":"ITEM-1","itemData":{"DOI":"10.1109/TAFE.2026.3670352","ISSN":"2771-9529","author":[{"dropping-particle":"","family":"Beldek","given":"Caner","non-dropping-particle":"","parse-names":false,"suffix":""},{"dropping-particle":"","family":"Sariyildiz","given":"Emre","non-dropping-particle":"","parse-names":false,"suffix":""},{"dropping-particle":"","family":"Phung","given":"Son Lam","non-dropping-particle":"","parse-names":false,"suffix":""},{"dropping-particle":"","family":"Alici","given":"Gursel","non-dropping-particle":"","parse-names":false,"suffix":""}],"container-title":"IEEE Transactions on AgriFood Electronics","id":"ITEM-1","issued":{"date-parts":[["2026"]]},"page":"1-9","title":"GDA-YOLO11: Amodal Instance Segmentation for Occlusion-Robust Robotic Fruit Harvesting","type":"article-journal"},"uris":["http://www.mendeley.com/documents/?uuid=d5f3c40e-b2e3-3cb1-95a3-39da93fda48a"]}],"mendeley":{"formattedCitation":"[9]","plainTextFormattedCitation":"[9]","previouslyFormattedCitation":"[9]"},"properties":{"noteIndex":0},"schema":"https://github.com/citation-style-language/schema/raw/master/csl-citation.json"}</w:instrText>
      </w:r>
      <w:r w:rsidR="00781D2A" w:rsidRPr="00C87A6C">
        <w:rPr>
          <w:rFonts w:ascii="Garamond" w:hAnsi="Garamond"/>
          <w:bCs/>
          <w:sz w:val="24"/>
          <w:szCs w:val="24"/>
        </w:rPr>
        <w:fldChar w:fldCharType="separate"/>
      </w:r>
      <w:r w:rsidR="00781D2A" w:rsidRPr="00C87A6C">
        <w:rPr>
          <w:rFonts w:ascii="Garamond" w:hAnsi="Garamond"/>
          <w:bCs/>
          <w:noProof/>
          <w:sz w:val="24"/>
          <w:szCs w:val="24"/>
        </w:rPr>
        <w:t>[9]</w:t>
      </w:r>
      <w:r w:rsidR="00781D2A" w:rsidRPr="00C87A6C">
        <w:rPr>
          <w:rFonts w:ascii="Garamond" w:hAnsi="Garamond"/>
          <w:bCs/>
          <w:sz w:val="24"/>
          <w:szCs w:val="24"/>
        </w:rPr>
        <w:fldChar w:fldCharType="end"/>
      </w:r>
      <w:r w:rsidRPr="00C87A6C">
        <w:rPr>
          <w:rFonts w:ascii="Garamond" w:hAnsi="Garamond"/>
          <w:bCs/>
          <w:sz w:val="24"/>
          <w:szCs w:val="24"/>
        </w:rPr>
        <w:t xml:space="preserve"> emphasize the importance of focusing on informative joints and capturing global context. The superior performance of the Transformer-based GAN in this study reflects a similar capability, as self-attention allows the model to reconstruct missing joints by leveraging relationships across the entire skeleton sequence. This results in statistically significant improvements (p &lt; 0.05 and p &lt; 0.01) for complex activities, demonstrating that global context modeling is critical for robust reconstruction under occlusion.</w:t>
      </w:r>
    </w:p>
    <w:p w14:paraId="353C2F5C" w14:textId="77777777" w:rsidR="00015737" w:rsidRPr="00C87A6C"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However, the results also reveal an important limitation that is less emphasized in existing literature: improved reconstruction accuracy does not always guarantee proportional gains in activity recognition. Even minor errors in key joints can significantly impact classification performance, particularly for transitional actions. This highlights a gap in current research, where most studies focus on reconstruction metrics rather than downstream task performance.</w:t>
      </w:r>
    </w:p>
    <w:p w14:paraId="60F19DC2" w14:textId="77777777" w:rsidR="00015737" w:rsidRPr="00C87A6C" w:rsidRDefault="00015737" w:rsidP="00470529">
      <w:pPr>
        <w:pStyle w:val="ListParagraph"/>
        <w:spacing w:after="0" w:line="240" w:lineRule="auto"/>
        <w:ind w:left="0" w:firstLine="720"/>
        <w:jc w:val="both"/>
        <w:rPr>
          <w:rFonts w:ascii="Garamond" w:hAnsi="Garamond"/>
          <w:bCs/>
          <w:sz w:val="24"/>
          <w:szCs w:val="24"/>
        </w:rPr>
      </w:pPr>
      <w:r w:rsidRPr="00C87A6C">
        <w:rPr>
          <w:rFonts w:ascii="Garamond" w:hAnsi="Garamond"/>
          <w:bCs/>
          <w:sz w:val="24"/>
          <w:szCs w:val="24"/>
        </w:rPr>
        <w:t>Overall, compared to state-of-the-art methods, the proposed Transformer-based GAN framework provides a more effective solution for handling severe occlusion by combining adversarial learning with global attention. Nevertheless, challenges remain for highly dynamic actions and extreme occlusion scenarios, indicating the need for further integration of attention mechanisms, multi-task learning, and context-aware reconstruction strategies.</w:t>
      </w:r>
    </w:p>
    <w:p w14:paraId="5637DC3B" w14:textId="3735182B" w:rsidR="00015737" w:rsidRPr="00C87A6C" w:rsidRDefault="00015737" w:rsidP="00015737">
      <w:pPr>
        <w:pStyle w:val="ListParagraph"/>
        <w:spacing w:after="0" w:line="240" w:lineRule="auto"/>
        <w:ind w:left="0"/>
        <w:jc w:val="both"/>
        <w:rPr>
          <w:rFonts w:ascii="Garamond" w:hAnsi="Garamond"/>
          <w:b/>
          <w:bCs/>
          <w:sz w:val="24"/>
          <w:szCs w:val="24"/>
        </w:rPr>
      </w:pPr>
      <w:r w:rsidRPr="00C87A6C">
        <w:rPr>
          <w:rFonts w:ascii="Garamond" w:hAnsi="Garamond"/>
          <w:b/>
          <w:bCs/>
          <w:sz w:val="24"/>
          <w:szCs w:val="24"/>
        </w:rPr>
        <w:t>Summary of Findings</w:t>
      </w:r>
      <w:r w:rsidR="00470529" w:rsidRPr="00C87A6C">
        <w:rPr>
          <w:rFonts w:ascii="Garamond" w:hAnsi="Garamond"/>
          <w:b/>
          <w:bCs/>
          <w:sz w:val="24"/>
          <w:szCs w:val="24"/>
        </w:rPr>
        <w:t>:</w:t>
      </w:r>
    </w:p>
    <w:p w14:paraId="3808B09B" w14:textId="77777777" w:rsidR="00015737" w:rsidRPr="00C87A6C" w:rsidRDefault="00015737" w:rsidP="00015737">
      <w:pPr>
        <w:pStyle w:val="ListParagraph"/>
        <w:spacing w:after="0" w:line="240" w:lineRule="auto"/>
        <w:ind w:left="0"/>
        <w:jc w:val="both"/>
        <w:rPr>
          <w:rFonts w:ascii="Garamond" w:hAnsi="Garamond"/>
          <w:bCs/>
          <w:sz w:val="24"/>
          <w:szCs w:val="24"/>
        </w:rPr>
      </w:pPr>
      <w:r w:rsidRPr="00C87A6C">
        <w:rPr>
          <w:rFonts w:ascii="Garamond" w:hAnsi="Garamond"/>
          <w:bCs/>
          <w:sz w:val="24"/>
          <w:szCs w:val="24"/>
        </w:rPr>
        <w:t>The key findings of this study are as follows:</w:t>
      </w:r>
    </w:p>
    <w:p w14:paraId="406BF6BC" w14:textId="77777777" w:rsidR="00015737" w:rsidRPr="00C87A6C" w:rsidRDefault="00015737" w:rsidP="00470529">
      <w:pPr>
        <w:spacing w:after="0" w:line="240" w:lineRule="auto"/>
        <w:jc w:val="both"/>
        <w:rPr>
          <w:rFonts w:ascii="Garamond" w:hAnsi="Garamond"/>
          <w:bCs/>
          <w:sz w:val="24"/>
          <w:szCs w:val="24"/>
        </w:rPr>
      </w:pPr>
      <w:r w:rsidRPr="00C87A6C">
        <w:rPr>
          <w:rFonts w:ascii="Garamond" w:hAnsi="Garamond"/>
          <w:bCs/>
          <w:sz w:val="24"/>
          <w:szCs w:val="24"/>
        </w:rPr>
        <w:t xml:space="preserve">Both proposed models improve skeleton reconstruction over baseline GAN-CRNN methods. </w:t>
      </w:r>
    </w:p>
    <w:p w14:paraId="08E56EA1" w14:textId="77777777" w:rsidR="00015737" w:rsidRPr="00C87A6C" w:rsidRDefault="00015737" w:rsidP="00470529">
      <w:pPr>
        <w:spacing w:after="0" w:line="240" w:lineRule="auto"/>
        <w:ind w:firstLine="720"/>
        <w:jc w:val="both"/>
        <w:rPr>
          <w:rFonts w:ascii="Garamond" w:hAnsi="Garamond"/>
          <w:bCs/>
          <w:sz w:val="24"/>
          <w:szCs w:val="24"/>
        </w:rPr>
      </w:pPr>
      <w:r w:rsidRPr="00C87A6C">
        <w:rPr>
          <w:rFonts w:ascii="Garamond" w:hAnsi="Garamond"/>
          <w:bCs/>
          <w:sz w:val="24"/>
          <w:szCs w:val="24"/>
        </w:rPr>
        <w:t>The Transformer-based model significantly outperforms CRNN-</w:t>
      </w:r>
      <w:proofErr w:type="spellStart"/>
      <w:r w:rsidRPr="00C87A6C">
        <w:rPr>
          <w:rFonts w:ascii="Garamond" w:hAnsi="Garamond"/>
          <w:bCs/>
          <w:sz w:val="24"/>
          <w:szCs w:val="24"/>
        </w:rPr>
        <w:t>BiLSTM</w:t>
      </w:r>
      <w:proofErr w:type="spellEnd"/>
      <w:r w:rsidRPr="00C87A6C">
        <w:rPr>
          <w:rFonts w:ascii="Garamond" w:hAnsi="Garamond"/>
          <w:bCs/>
          <w:sz w:val="24"/>
          <w:szCs w:val="24"/>
        </w:rPr>
        <w:t xml:space="preserve"> in complex activities (</w:t>
      </w:r>
      <w:proofErr w:type="spellStart"/>
      <w:r w:rsidRPr="00C87A6C">
        <w:rPr>
          <w:rFonts w:ascii="Garamond" w:hAnsi="Garamond"/>
          <w:bCs/>
          <w:i/>
          <w:iCs/>
          <w:sz w:val="24"/>
          <w:szCs w:val="24"/>
        </w:rPr>
        <w:t>SitDown</w:t>
      </w:r>
      <w:proofErr w:type="spellEnd"/>
      <w:r w:rsidRPr="00C87A6C">
        <w:rPr>
          <w:rFonts w:ascii="Garamond" w:hAnsi="Garamond"/>
          <w:bCs/>
          <w:sz w:val="24"/>
          <w:szCs w:val="24"/>
        </w:rPr>
        <w:t xml:space="preserve">, </w:t>
      </w:r>
      <w:proofErr w:type="spellStart"/>
      <w:r w:rsidRPr="00C87A6C">
        <w:rPr>
          <w:rFonts w:ascii="Garamond" w:hAnsi="Garamond"/>
          <w:bCs/>
          <w:i/>
          <w:iCs/>
          <w:sz w:val="24"/>
          <w:szCs w:val="24"/>
        </w:rPr>
        <w:t>StandUp</w:t>
      </w:r>
      <w:proofErr w:type="spellEnd"/>
      <w:r w:rsidRPr="00C87A6C">
        <w:rPr>
          <w:rFonts w:ascii="Garamond" w:hAnsi="Garamond"/>
          <w:bCs/>
          <w:sz w:val="24"/>
          <w:szCs w:val="24"/>
        </w:rPr>
        <w:t xml:space="preserve">). </w:t>
      </w:r>
    </w:p>
    <w:p w14:paraId="64D1D247" w14:textId="77777777" w:rsidR="00015737" w:rsidRPr="00C87A6C" w:rsidRDefault="00015737" w:rsidP="00470529">
      <w:pPr>
        <w:spacing w:after="0" w:line="240" w:lineRule="auto"/>
        <w:jc w:val="both"/>
        <w:rPr>
          <w:rFonts w:ascii="Garamond" w:hAnsi="Garamond"/>
          <w:bCs/>
          <w:sz w:val="24"/>
          <w:szCs w:val="24"/>
        </w:rPr>
      </w:pPr>
      <w:r w:rsidRPr="00C87A6C">
        <w:rPr>
          <w:rFonts w:ascii="Garamond" w:hAnsi="Garamond"/>
          <w:bCs/>
          <w:sz w:val="24"/>
          <w:szCs w:val="24"/>
        </w:rPr>
        <w:t>No significant difference is observed for simple activities (</w:t>
      </w:r>
      <w:r w:rsidRPr="00C87A6C">
        <w:rPr>
          <w:rFonts w:ascii="Garamond" w:hAnsi="Garamond"/>
          <w:bCs/>
          <w:i/>
          <w:iCs/>
          <w:sz w:val="24"/>
          <w:szCs w:val="24"/>
        </w:rPr>
        <w:t>Walk</w:t>
      </w:r>
      <w:r w:rsidRPr="00C87A6C">
        <w:rPr>
          <w:rFonts w:ascii="Garamond" w:hAnsi="Garamond"/>
          <w:bCs/>
          <w:sz w:val="24"/>
          <w:szCs w:val="24"/>
        </w:rPr>
        <w:t xml:space="preserve">) (p &gt; 0.05). </w:t>
      </w:r>
    </w:p>
    <w:p w14:paraId="607CEC0C" w14:textId="77777777" w:rsidR="00015737" w:rsidRPr="00C87A6C" w:rsidRDefault="00015737" w:rsidP="00470529">
      <w:pPr>
        <w:spacing w:after="0" w:line="240" w:lineRule="auto"/>
        <w:jc w:val="both"/>
        <w:rPr>
          <w:rFonts w:ascii="Garamond" w:hAnsi="Garamond"/>
          <w:bCs/>
          <w:sz w:val="24"/>
          <w:szCs w:val="24"/>
        </w:rPr>
      </w:pPr>
      <w:r w:rsidRPr="00C87A6C">
        <w:rPr>
          <w:rFonts w:ascii="Garamond" w:hAnsi="Garamond"/>
          <w:bCs/>
          <w:sz w:val="24"/>
          <w:szCs w:val="24"/>
        </w:rPr>
        <w:t xml:space="preserve">Statistically significant improvements are achieved for complex motions (p &lt; 0.05, p &lt; 0.01). </w:t>
      </w:r>
    </w:p>
    <w:p w14:paraId="337864AC" w14:textId="77777777" w:rsidR="00015737" w:rsidRPr="00C87A6C" w:rsidRDefault="00015737" w:rsidP="00470529">
      <w:pPr>
        <w:spacing w:after="0" w:line="240" w:lineRule="auto"/>
        <w:ind w:firstLine="720"/>
        <w:jc w:val="both"/>
        <w:rPr>
          <w:rFonts w:ascii="Garamond" w:hAnsi="Garamond"/>
          <w:bCs/>
          <w:sz w:val="24"/>
          <w:szCs w:val="24"/>
        </w:rPr>
      </w:pPr>
      <w:r w:rsidRPr="00C87A6C">
        <w:rPr>
          <w:rFonts w:ascii="Garamond" w:hAnsi="Garamond"/>
          <w:bCs/>
          <w:sz w:val="24"/>
          <w:szCs w:val="24"/>
        </w:rPr>
        <w:t xml:space="preserve">Reconstruction quality alone does not guarantee high recognition performance; preservation of critical joint dynamics is essential. </w:t>
      </w:r>
    </w:p>
    <w:p w14:paraId="2CBAEBEF" w14:textId="77777777" w:rsidR="00015737" w:rsidRPr="00C87A6C" w:rsidRDefault="00015737" w:rsidP="00470529">
      <w:pPr>
        <w:spacing w:after="0" w:line="240" w:lineRule="auto"/>
        <w:ind w:firstLine="720"/>
        <w:jc w:val="both"/>
        <w:rPr>
          <w:rFonts w:ascii="Garamond" w:hAnsi="Garamond"/>
          <w:bCs/>
          <w:sz w:val="24"/>
          <w:szCs w:val="24"/>
        </w:rPr>
      </w:pPr>
      <w:r w:rsidRPr="00C87A6C">
        <w:rPr>
          <w:rFonts w:ascii="Garamond" w:hAnsi="Garamond"/>
          <w:bCs/>
          <w:sz w:val="24"/>
          <w:szCs w:val="24"/>
        </w:rPr>
        <w:t>Severe occlusion remains a challenge, particularly for non-periodic and transition-based activities.</w:t>
      </w:r>
    </w:p>
    <w:p w14:paraId="251E554A" w14:textId="1B50CD8D" w:rsidR="00015737" w:rsidRPr="00C87A6C" w:rsidRDefault="00015737" w:rsidP="00015737">
      <w:pPr>
        <w:spacing w:after="0" w:line="240" w:lineRule="auto"/>
        <w:jc w:val="both"/>
        <w:rPr>
          <w:rFonts w:ascii="Garamond" w:hAnsi="Garamond"/>
          <w:b/>
          <w:bCs/>
          <w:sz w:val="24"/>
          <w:szCs w:val="24"/>
        </w:rPr>
      </w:pPr>
      <w:r w:rsidRPr="00C87A6C">
        <w:rPr>
          <w:rFonts w:ascii="Garamond" w:hAnsi="Garamond"/>
          <w:b/>
          <w:bCs/>
          <w:sz w:val="24"/>
          <w:szCs w:val="24"/>
        </w:rPr>
        <w:t>Implications of the Study</w:t>
      </w:r>
      <w:r w:rsidR="00470529" w:rsidRPr="00C87A6C">
        <w:rPr>
          <w:rFonts w:ascii="Garamond" w:hAnsi="Garamond"/>
          <w:b/>
          <w:bCs/>
          <w:sz w:val="24"/>
          <w:szCs w:val="24"/>
        </w:rPr>
        <w:t>:</w:t>
      </w:r>
    </w:p>
    <w:p w14:paraId="17BAC284" w14:textId="77777777" w:rsidR="00015737" w:rsidRPr="00C87A6C" w:rsidRDefault="00015737" w:rsidP="00470529">
      <w:pPr>
        <w:spacing w:after="0" w:line="240" w:lineRule="auto"/>
        <w:ind w:firstLine="720"/>
        <w:jc w:val="both"/>
        <w:rPr>
          <w:rFonts w:ascii="Garamond" w:hAnsi="Garamond"/>
          <w:sz w:val="24"/>
          <w:szCs w:val="24"/>
        </w:rPr>
      </w:pPr>
      <w:r w:rsidRPr="00C87A6C">
        <w:rPr>
          <w:rFonts w:ascii="Garamond" w:hAnsi="Garamond"/>
          <w:sz w:val="24"/>
          <w:szCs w:val="24"/>
        </w:rPr>
        <w:t>This study has both theoretical and practical implications. Theoretically, it demonstrates that integrating Transformer-based global attention within GAN frameworks significantly enhances skeleton reconstruction by capturing long-range dependencies, addressing a key limitation of CRNN-based models. It also establishes that reconstruction quality should be evaluated not only by error metrics but also by its impact on downstream tasks such as activity recognition. Practically, the proposed framework can improve robustness in real-world HAR applications, including healthcare monitoring, surveillance systems, and human–computer interaction, where occlusion is common. The findings suggest that adopting attention-based architectures can lead to more reliable performance in environments with incomplete or noisy skeletal data.</w:t>
      </w:r>
    </w:p>
    <w:p w14:paraId="0889D454" w14:textId="0CBF87FA" w:rsidR="00015737" w:rsidRPr="00C87A6C" w:rsidRDefault="00015737" w:rsidP="00015737">
      <w:pPr>
        <w:spacing w:after="0" w:line="240" w:lineRule="auto"/>
        <w:jc w:val="both"/>
        <w:rPr>
          <w:rFonts w:ascii="Garamond" w:hAnsi="Garamond"/>
          <w:b/>
          <w:sz w:val="24"/>
          <w:szCs w:val="24"/>
        </w:rPr>
      </w:pPr>
      <w:r w:rsidRPr="00C87A6C">
        <w:rPr>
          <w:rFonts w:ascii="Garamond" w:hAnsi="Garamond"/>
          <w:b/>
          <w:sz w:val="24"/>
          <w:szCs w:val="24"/>
        </w:rPr>
        <w:t>Conclusion</w:t>
      </w:r>
      <w:r w:rsidR="00470529" w:rsidRPr="00C87A6C">
        <w:rPr>
          <w:rFonts w:ascii="Garamond" w:hAnsi="Garamond"/>
          <w:b/>
          <w:sz w:val="24"/>
          <w:szCs w:val="24"/>
        </w:rPr>
        <w:t>:</w:t>
      </w:r>
    </w:p>
    <w:p w14:paraId="2AA34334" w14:textId="77777777" w:rsidR="00015737" w:rsidRPr="00C87A6C" w:rsidRDefault="00015737" w:rsidP="00470529">
      <w:pPr>
        <w:spacing w:after="0" w:line="240" w:lineRule="auto"/>
        <w:ind w:firstLine="720"/>
        <w:jc w:val="both"/>
        <w:rPr>
          <w:rFonts w:ascii="Garamond" w:hAnsi="Garamond"/>
          <w:sz w:val="24"/>
          <w:szCs w:val="24"/>
        </w:rPr>
      </w:pPr>
      <w:r w:rsidRPr="00C87A6C">
        <w:rPr>
          <w:rFonts w:ascii="Garamond" w:hAnsi="Garamond"/>
          <w:sz w:val="24"/>
          <w:szCs w:val="24"/>
        </w:rPr>
        <w:t>This study proposed a GAN-based framework for reconstructing occluded 3D human skeletons using CRNN-</w:t>
      </w:r>
      <w:proofErr w:type="spellStart"/>
      <w:r w:rsidRPr="00C87A6C">
        <w:rPr>
          <w:rFonts w:ascii="Garamond" w:hAnsi="Garamond"/>
          <w:sz w:val="24"/>
          <w:szCs w:val="24"/>
        </w:rPr>
        <w:t>BiLSTM</w:t>
      </w:r>
      <w:proofErr w:type="spellEnd"/>
      <w:r w:rsidRPr="00C87A6C">
        <w:rPr>
          <w:rFonts w:ascii="Garamond" w:hAnsi="Garamond"/>
          <w:sz w:val="24"/>
          <w:szCs w:val="24"/>
        </w:rPr>
        <w:t xml:space="preserve"> and Transformer-based generators. Experimental results across multiple occlusion scenarios show that both models outperform baseline GAN-CRNN methods, with the Transformer-based approach achieving superior performance, particularly for complex activities.</w:t>
      </w:r>
    </w:p>
    <w:p w14:paraId="5455ED91" w14:textId="77777777" w:rsidR="00015737" w:rsidRPr="00C87A6C" w:rsidRDefault="00015737" w:rsidP="00470529">
      <w:pPr>
        <w:spacing w:after="0" w:line="240" w:lineRule="auto"/>
        <w:ind w:firstLine="720"/>
        <w:jc w:val="both"/>
        <w:rPr>
          <w:rFonts w:ascii="Garamond" w:hAnsi="Garamond"/>
          <w:sz w:val="24"/>
          <w:szCs w:val="24"/>
        </w:rPr>
      </w:pPr>
      <w:r w:rsidRPr="00C87A6C">
        <w:rPr>
          <w:rFonts w:ascii="Garamond" w:hAnsi="Garamond"/>
          <w:sz w:val="24"/>
          <w:szCs w:val="24"/>
        </w:rPr>
        <w:t>The results confirm that global spatial–temporal modeling significantly improves reconstruction quality and downstream recognition performance, especially under severe occlusion. However, the study also reveals that high reconstruction accuracy does not always guarantee improved classification, emphasizing the importance of preserving critical motion features.</w:t>
      </w:r>
    </w:p>
    <w:p w14:paraId="15B9145E" w14:textId="2AD03AFE" w:rsidR="00015737" w:rsidRPr="00C87A6C" w:rsidRDefault="00015737" w:rsidP="00015737">
      <w:pPr>
        <w:spacing w:after="0" w:line="240" w:lineRule="auto"/>
        <w:jc w:val="both"/>
        <w:rPr>
          <w:rFonts w:ascii="Garamond" w:hAnsi="Garamond"/>
          <w:b/>
          <w:bCs/>
          <w:sz w:val="24"/>
          <w:szCs w:val="24"/>
        </w:rPr>
      </w:pPr>
      <w:r w:rsidRPr="00C87A6C">
        <w:rPr>
          <w:rFonts w:ascii="Garamond" w:hAnsi="Garamond"/>
          <w:b/>
          <w:bCs/>
          <w:sz w:val="24"/>
          <w:szCs w:val="24"/>
        </w:rPr>
        <w:t>Recommendations and Future Work</w:t>
      </w:r>
      <w:r w:rsidR="00470529" w:rsidRPr="00C87A6C">
        <w:rPr>
          <w:rFonts w:ascii="Garamond" w:hAnsi="Garamond"/>
          <w:b/>
          <w:bCs/>
          <w:sz w:val="24"/>
          <w:szCs w:val="24"/>
        </w:rPr>
        <w:t>:</w:t>
      </w:r>
    </w:p>
    <w:p w14:paraId="784F07ED" w14:textId="77777777" w:rsidR="00015737" w:rsidRPr="00C87A6C" w:rsidRDefault="00015737" w:rsidP="00015737">
      <w:pPr>
        <w:spacing w:after="0" w:line="240" w:lineRule="auto"/>
        <w:jc w:val="both"/>
        <w:rPr>
          <w:rFonts w:ascii="Garamond" w:hAnsi="Garamond"/>
          <w:sz w:val="24"/>
          <w:szCs w:val="24"/>
        </w:rPr>
      </w:pPr>
      <w:r w:rsidRPr="00C87A6C">
        <w:rPr>
          <w:rFonts w:ascii="Garamond" w:hAnsi="Garamond"/>
          <w:sz w:val="24"/>
          <w:szCs w:val="24"/>
        </w:rPr>
        <w:t>Based on the findings, the following recommendations are proposed:</w:t>
      </w:r>
    </w:p>
    <w:p w14:paraId="0AF00EA1" w14:textId="77777777" w:rsidR="00015737" w:rsidRPr="00C87A6C" w:rsidRDefault="00015737" w:rsidP="00470529">
      <w:pPr>
        <w:spacing w:after="0" w:line="240" w:lineRule="auto"/>
        <w:ind w:firstLine="720"/>
        <w:jc w:val="both"/>
        <w:rPr>
          <w:rFonts w:ascii="Garamond" w:hAnsi="Garamond"/>
          <w:sz w:val="24"/>
          <w:szCs w:val="24"/>
        </w:rPr>
      </w:pPr>
      <w:r w:rsidRPr="00C87A6C">
        <w:rPr>
          <w:rFonts w:ascii="Garamond" w:hAnsi="Garamond"/>
          <w:sz w:val="24"/>
          <w:szCs w:val="24"/>
        </w:rPr>
        <w:t xml:space="preserve">Future models should focus on joint-aware reconstruction, prioritizing critical joints that influence activity recognition. </w:t>
      </w:r>
    </w:p>
    <w:p w14:paraId="366DEFF6" w14:textId="77777777" w:rsidR="00015737" w:rsidRPr="00C87A6C" w:rsidRDefault="00015737" w:rsidP="00470529">
      <w:pPr>
        <w:spacing w:after="0" w:line="240" w:lineRule="auto"/>
        <w:ind w:firstLine="720"/>
        <w:jc w:val="both"/>
        <w:rPr>
          <w:rFonts w:ascii="Garamond" w:hAnsi="Garamond"/>
          <w:sz w:val="24"/>
          <w:szCs w:val="24"/>
        </w:rPr>
      </w:pPr>
      <w:r w:rsidRPr="00C87A6C">
        <w:rPr>
          <w:rFonts w:ascii="Garamond" w:hAnsi="Garamond"/>
          <w:sz w:val="24"/>
          <w:szCs w:val="24"/>
        </w:rPr>
        <w:t xml:space="preserve">Lightweight Transformer architectures should be explored to reduce computational complexity for real-time deployment. </w:t>
      </w:r>
    </w:p>
    <w:p w14:paraId="329B700F" w14:textId="77777777" w:rsidR="00015737" w:rsidRPr="00C87A6C" w:rsidRDefault="00015737" w:rsidP="00470529">
      <w:pPr>
        <w:spacing w:after="0" w:line="240" w:lineRule="auto"/>
        <w:ind w:firstLine="720"/>
        <w:jc w:val="both"/>
        <w:rPr>
          <w:rFonts w:ascii="Garamond" w:hAnsi="Garamond"/>
          <w:sz w:val="24"/>
          <w:szCs w:val="24"/>
        </w:rPr>
      </w:pPr>
      <w:r w:rsidRPr="00C87A6C">
        <w:rPr>
          <w:rFonts w:ascii="Garamond" w:hAnsi="Garamond"/>
          <w:sz w:val="24"/>
          <w:szCs w:val="24"/>
        </w:rPr>
        <w:t xml:space="preserve">The framework should be extended to multi-person and multi-view scenarios to better reflect real-world conditions. </w:t>
      </w:r>
    </w:p>
    <w:p w14:paraId="1026B210" w14:textId="77777777" w:rsidR="00015737" w:rsidRPr="00C87A6C" w:rsidRDefault="00015737" w:rsidP="00470529">
      <w:pPr>
        <w:spacing w:after="0" w:line="240" w:lineRule="auto"/>
        <w:ind w:firstLine="720"/>
        <w:jc w:val="both"/>
        <w:rPr>
          <w:rFonts w:ascii="Garamond" w:hAnsi="Garamond"/>
          <w:sz w:val="24"/>
          <w:szCs w:val="24"/>
        </w:rPr>
      </w:pPr>
      <w:r w:rsidRPr="00C87A6C">
        <w:rPr>
          <w:rFonts w:ascii="Garamond" w:hAnsi="Garamond"/>
          <w:sz w:val="24"/>
          <w:szCs w:val="24"/>
        </w:rPr>
        <w:t xml:space="preserve">Incorporating adaptive attention mechanisms could further improve performance under dynamic and unpredictable occlusion patterns. </w:t>
      </w:r>
    </w:p>
    <w:p w14:paraId="3789D5A6" w14:textId="77777777" w:rsidR="00015737" w:rsidRPr="00C87A6C" w:rsidRDefault="00015737" w:rsidP="00470529">
      <w:pPr>
        <w:spacing w:after="0" w:line="240" w:lineRule="auto"/>
        <w:ind w:firstLine="720"/>
        <w:jc w:val="both"/>
        <w:rPr>
          <w:rFonts w:ascii="Garamond" w:hAnsi="Garamond"/>
          <w:sz w:val="24"/>
          <w:szCs w:val="24"/>
        </w:rPr>
      </w:pPr>
      <w:r w:rsidRPr="00C87A6C">
        <w:rPr>
          <w:rFonts w:ascii="Garamond" w:hAnsi="Garamond"/>
          <w:sz w:val="24"/>
          <w:szCs w:val="24"/>
        </w:rPr>
        <w:t>Evaluation should include more complex datasets and real-world environments to validate generalization.</w:t>
      </w:r>
    </w:p>
    <w:p w14:paraId="3DD5FFDF" w14:textId="77777777" w:rsidR="00015737" w:rsidRPr="00C87A6C" w:rsidRDefault="00015737" w:rsidP="00470529">
      <w:pPr>
        <w:spacing w:after="0" w:line="240" w:lineRule="auto"/>
        <w:ind w:firstLine="720"/>
        <w:jc w:val="both"/>
        <w:rPr>
          <w:rFonts w:ascii="Garamond" w:hAnsi="Garamond"/>
          <w:sz w:val="24"/>
          <w:szCs w:val="24"/>
        </w:rPr>
      </w:pPr>
      <w:r w:rsidRPr="00C87A6C">
        <w:rPr>
          <w:rFonts w:ascii="Garamond" w:hAnsi="Garamond"/>
          <w:sz w:val="24"/>
          <w:szCs w:val="24"/>
        </w:rPr>
        <w:t>Future work will specifically investigate efficient Transformer variants and real-time HAR systems to enhance scalability and practical applicability.</w:t>
      </w:r>
    </w:p>
    <w:bookmarkEnd w:id="4"/>
    <w:p w14:paraId="3B8DA184" w14:textId="1B8170DC" w:rsidR="00015737" w:rsidRPr="00C87A6C" w:rsidRDefault="00470529" w:rsidP="00015737">
      <w:pPr>
        <w:spacing w:after="0" w:line="240" w:lineRule="auto"/>
        <w:jc w:val="both"/>
        <w:rPr>
          <w:rFonts w:ascii="Garamond" w:hAnsi="Garamond" w:cs="Times New Roman"/>
          <w:b/>
          <w:sz w:val="24"/>
          <w:szCs w:val="24"/>
        </w:rPr>
      </w:pPr>
      <w:r w:rsidRPr="00C87A6C">
        <w:rPr>
          <w:rFonts w:ascii="Garamond" w:hAnsi="Garamond" w:cs="Times New Roman"/>
          <w:b/>
          <w:sz w:val="24"/>
          <w:szCs w:val="24"/>
        </w:rPr>
        <w:t>Ref</w:t>
      </w:r>
      <w:r w:rsidR="00CC5840" w:rsidRPr="00C87A6C">
        <w:rPr>
          <w:rFonts w:ascii="Garamond" w:hAnsi="Garamond" w:cs="Times New Roman"/>
          <w:b/>
          <w:sz w:val="24"/>
          <w:szCs w:val="24"/>
        </w:rPr>
        <w:t>e</w:t>
      </w:r>
      <w:r w:rsidRPr="00C87A6C">
        <w:rPr>
          <w:rFonts w:ascii="Garamond" w:hAnsi="Garamond" w:cs="Times New Roman"/>
          <w:b/>
          <w:sz w:val="24"/>
          <w:szCs w:val="24"/>
        </w:rPr>
        <w:t>rences:</w:t>
      </w:r>
    </w:p>
    <w:p w14:paraId="0FC84808" w14:textId="64698292"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Pr>
          <w:rFonts w:ascii="Garamond" w:eastAsia="Garamond" w:hAnsi="Garamond" w:cs="Garamond"/>
          <w:color w:val="000000" w:themeColor="text1"/>
          <w:sz w:val="24"/>
          <w:szCs w:val="24"/>
        </w:rPr>
        <w:fldChar w:fldCharType="begin" w:fldLock="1"/>
      </w:r>
      <w:r>
        <w:rPr>
          <w:rFonts w:ascii="Garamond" w:eastAsia="Garamond" w:hAnsi="Garamond" w:cs="Garamond"/>
          <w:color w:val="000000" w:themeColor="text1"/>
          <w:sz w:val="24"/>
          <w:szCs w:val="24"/>
        </w:rPr>
        <w:instrText xml:space="preserve">ADDIN Mendeley Bibliography CSL_BIBLIOGRAPHY </w:instrText>
      </w:r>
      <w:r>
        <w:rPr>
          <w:rFonts w:ascii="Garamond" w:eastAsia="Garamond" w:hAnsi="Garamond" w:cs="Garamond"/>
          <w:color w:val="000000" w:themeColor="text1"/>
          <w:sz w:val="24"/>
          <w:szCs w:val="24"/>
        </w:rPr>
        <w:fldChar w:fldCharType="separate"/>
      </w:r>
      <w:r w:rsidRPr="00781D2A">
        <w:rPr>
          <w:rFonts w:ascii="Garamond" w:hAnsi="Garamond" w:cs="Times New Roman"/>
          <w:noProof/>
          <w:sz w:val="24"/>
        </w:rPr>
        <w:t>[1]</w:t>
      </w:r>
      <w:r w:rsidRPr="00781D2A">
        <w:rPr>
          <w:rFonts w:ascii="Garamond" w:hAnsi="Garamond" w:cs="Times New Roman"/>
          <w:noProof/>
          <w:sz w:val="24"/>
        </w:rPr>
        <w:tab/>
        <w:t xml:space="preserve">Z. Sun, Q. Ke, H. Rahmani, M. Bennamoun, G. Wang, and J. Liu, “Human Action Recognition From Various Data Modalities: A Review,” </w:t>
      </w:r>
      <w:r w:rsidRPr="00781D2A">
        <w:rPr>
          <w:rFonts w:ascii="Garamond" w:hAnsi="Garamond" w:cs="Times New Roman"/>
          <w:i/>
          <w:iCs/>
          <w:noProof/>
          <w:sz w:val="24"/>
        </w:rPr>
        <w:t>IEEE Trans. Pattern Anal. Mach. Intell.</w:t>
      </w:r>
      <w:r w:rsidRPr="00781D2A">
        <w:rPr>
          <w:rFonts w:ascii="Garamond" w:hAnsi="Garamond" w:cs="Times New Roman"/>
          <w:noProof/>
          <w:sz w:val="24"/>
        </w:rPr>
        <w:t>, vol. 45, no. 3, pp. 3200–3225, Mar. 2023, doi: 10.1109/TPAMI.2022.3183112.</w:t>
      </w:r>
    </w:p>
    <w:p w14:paraId="11801CC5"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[2]</w:t>
      </w:r>
      <w:r w:rsidRPr="00781D2A">
        <w:rPr>
          <w:rFonts w:ascii="Garamond" w:hAnsi="Garamond" w:cs="Times New Roman"/>
          <w:noProof/>
          <w:sz w:val="24"/>
        </w:rPr>
        <w:tab/>
        <w:t xml:space="preserve">F. Angelini, Z. Fu, Y. Long, L. Shao, and S. M. Naqvi, “2D pose-based real-time human action recognition with occlusion-handling,” </w:t>
      </w:r>
      <w:r w:rsidRPr="00781D2A">
        <w:rPr>
          <w:rFonts w:ascii="Garamond" w:hAnsi="Garamond" w:cs="Times New Roman"/>
          <w:i/>
          <w:iCs/>
          <w:noProof/>
          <w:sz w:val="24"/>
        </w:rPr>
        <w:t>IEEE Trans. Multimed.</w:t>
      </w:r>
      <w:r w:rsidRPr="00781D2A">
        <w:rPr>
          <w:rFonts w:ascii="Garamond" w:hAnsi="Garamond" w:cs="Times New Roman"/>
          <w:noProof/>
          <w:sz w:val="24"/>
        </w:rPr>
        <w:t>, vol. 22, no. 6, pp. 1433–1446, Jun. 2020, doi: 10.1109/TMM.2019.2944745.</w:t>
      </w:r>
    </w:p>
    <w:p w14:paraId="7ADC7E71"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[3]</w:t>
      </w:r>
      <w:r w:rsidRPr="00781D2A">
        <w:rPr>
          <w:rFonts w:ascii="Garamond" w:hAnsi="Garamond" w:cs="Times New Roman"/>
          <w:noProof/>
          <w:sz w:val="24"/>
        </w:rPr>
        <w:tab/>
        <w:t xml:space="preserve">Ilias Giannakos, Eirini Mathe, “A study on the Effect of Occlusion in Human Activity Recognition,” </w:t>
      </w:r>
      <w:r w:rsidRPr="00781D2A">
        <w:rPr>
          <w:rFonts w:ascii="Garamond" w:hAnsi="Garamond" w:cs="Times New Roman"/>
          <w:i/>
          <w:iCs/>
          <w:noProof/>
          <w:sz w:val="24"/>
        </w:rPr>
        <w:t>ACM Int. Conf. Proceeding Ser.</w:t>
      </w:r>
      <w:r w:rsidRPr="00781D2A">
        <w:rPr>
          <w:rFonts w:ascii="Garamond" w:hAnsi="Garamond" w:cs="Times New Roman"/>
          <w:noProof/>
          <w:sz w:val="24"/>
        </w:rPr>
        <w:t>, 2021, [Online]. Available: https://dl.acm.org/doi/10.1145/3453892.3461337</w:t>
      </w:r>
    </w:p>
    <w:p w14:paraId="77EB9CD3"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[4]</w:t>
      </w:r>
      <w:r w:rsidRPr="00781D2A">
        <w:rPr>
          <w:rFonts w:ascii="Garamond" w:hAnsi="Garamond" w:cs="Times New Roman"/>
          <w:noProof/>
          <w:sz w:val="24"/>
        </w:rPr>
        <w:tab/>
        <w:t xml:space="preserve">Rubén San-Segundo, Fernando Fernández-Martínez, “Skeleton Reconstruction Using Generative Adversarial Networks for Human Activity Recognition Under Occlusion,” </w:t>
      </w:r>
      <w:r w:rsidRPr="00781D2A">
        <w:rPr>
          <w:rFonts w:ascii="Garamond" w:hAnsi="Garamond" w:cs="Times New Roman"/>
          <w:i/>
          <w:iCs/>
          <w:noProof/>
          <w:sz w:val="24"/>
        </w:rPr>
        <w:t>Sensors</w:t>
      </w:r>
      <w:r w:rsidRPr="00781D2A">
        <w:rPr>
          <w:rFonts w:ascii="Garamond" w:hAnsi="Garamond" w:cs="Times New Roman"/>
          <w:noProof/>
          <w:sz w:val="24"/>
        </w:rPr>
        <w:t>, vol. 25, no. 5, p. 1567, 2025, doi: https://doi.org/10.3390/s25051567.</w:t>
      </w:r>
    </w:p>
    <w:p w14:paraId="24EC3A86"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[5]</w:t>
      </w:r>
      <w:r w:rsidRPr="00781D2A">
        <w:rPr>
          <w:rFonts w:ascii="Garamond" w:hAnsi="Garamond" w:cs="Times New Roman"/>
          <w:noProof/>
          <w:sz w:val="24"/>
        </w:rPr>
        <w:tab/>
        <w:t xml:space="preserve">Yu Kong, Yun Fu, “Human Action Recognition and Prediction: A Survey,” </w:t>
      </w:r>
      <w:r w:rsidRPr="00781D2A">
        <w:rPr>
          <w:rFonts w:ascii="Garamond" w:hAnsi="Garamond" w:cs="Times New Roman"/>
          <w:i/>
          <w:iCs/>
          <w:noProof/>
          <w:sz w:val="24"/>
        </w:rPr>
        <w:t>arXiv:1806.11230</w:t>
      </w:r>
      <w:r w:rsidRPr="00781D2A">
        <w:rPr>
          <w:rFonts w:ascii="Garamond" w:hAnsi="Garamond" w:cs="Times New Roman"/>
          <w:noProof/>
          <w:sz w:val="24"/>
        </w:rPr>
        <w:t>, 2022, [Online]. Available: https://arxiv.org/abs/1806.11230</w:t>
      </w:r>
    </w:p>
    <w:p w14:paraId="158DE180"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[6]</w:t>
      </w:r>
      <w:r w:rsidRPr="00781D2A">
        <w:rPr>
          <w:rFonts w:ascii="Garamond" w:hAnsi="Garamond" w:cs="Times New Roman"/>
          <w:noProof/>
          <w:sz w:val="24"/>
        </w:rPr>
        <w:tab/>
        <w:t xml:space="preserve">Bahareh Nikpour, Narges Armanfard, “Spatio-temporal hard attention learning for skeleton-based activity recognition,” </w:t>
      </w:r>
      <w:r w:rsidRPr="00781D2A">
        <w:rPr>
          <w:rFonts w:ascii="Garamond" w:hAnsi="Garamond" w:cs="Times New Roman"/>
          <w:i/>
          <w:iCs/>
          <w:noProof/>
          <w:sz w:val="24"/>
        </w:rPr>
        <w:t>Pattern Recognit.</w:t>
      </w:r>
      <w:r w:rsidRPr="00781D2A">
        <w:rPr>
          <w:rFonts w:ascii="Garamond" w:hAnsi="Garamond" w:cs="Times New Roman"/>
          <w:noProof/>
          <w:sz w:val="24"/>
        </w:rPr>
        <w:t>, vol. 139, p. 109428, 2023, doi: https://doi.org/10.1016/j.patcog.2023.109428.</w:t>
      </w:r>
    </w:p>
    <w:p w14:paraId="7F10B587"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[7]</w:t>
      </w:r>
      <w:r w:rsidRPr="00781D2A">
        <w:rPr>
          <w:rFonts w:ascii="Garamond" w:hAnsi="Garamond" w:cs="Times New Roman"/>
          <w:noProof/>
          <w:sz w:val="24"/>
        </w:rPr>
        <w:tab/>
        <w:t xml:space="preserve">M. Rahevar and A. Ganatra, “Spatial–Temporal gated graph attention network for skeleton-based action recognition,” </w:t>
      </w:r>
      <w:r w:rsidRPr="00781D2A">
        <w:rPr>
          <w:rFonts w:ascii="Garamond" w:hAnsi="Garamond" w:cs="Times New Roman"/>
          <w:i/>
          <w:iCs/>
          <w:noProof/>
          <w:sz w:val="24"/>
        </w:rPr>
        <w:t>Pattern Anal. Appl. 2023 263</w:t>
      </w:r>
      <w:r w:rsidRPr="00781D2A">
        <w:rPr>
          <w:rFonts w:ascii="Garamond" w:hAnsi="Garamond" w:cs="Times New Roman"/>
          <w:noProof/>
          <w:sz w:val="24"/>
        </w:rPr>
        <w:t>, vol. 26, no. 3, pp. 929–939, Jun. 2023, doi: 10.1007/S10044-023-01179-3.</w:t>
      </w:r>
    </w:p>
    <w:p w14:paraId="3F10E791"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[8]</w:t>
      </w:r>
      <w:r w:rsidRPr="00781D2A">
        <w:rPr>
          <w:rFonts w:ascii="Garamond" w:hAnsi="Garamond" w:cs="Times New Roman"/>
          <w:noProof/>
          <w:sz w:val="24"/>
        </w:rPr>
        <w:tab/>
        <w:t xml:space="preserve">Wentian Xin, Ruyi Liu, “Transformer for Skeleton-based action recognition: A review of recent advances,” </w:t>
      </w:r>
      <w:r w:rsidRPr="00781D2A">
        <w:rPr>
          <w:rFonts w:ascii="Garamond" w:hAnsi="Garamond" w:cs="Times New Roman"/>
          <w:i/>
          <w:iCs/>
          <w:noProof/>
          <w:sz w:val="24"/>
        </w:rPr>
        <w:t>Neurocomputing</w:t>
      </w:r>
      <w:r w:rsidRPr="00781D2A">
        <w:rPr>
          <w:rFonts w:ascii="Garamond" w:hAnsi="Garamond" w:cs="Times New Roman"/>
          <w:noProof/>
          <w:sz w:val="24"/>
        </w:rPr>
        <w:t>, vol. 537, pp. 164–186, 2023, doi: https://doi.org/10.1016/j.neucom.2023.03.001.</w:t>
      </w:r>
    </w:p>
    <w:p w14:paraId="06907255"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[9]</w:t>
      </w:r>
      <w:r w:rsidRPr="00781D2A">
        <w:rPr>
          <w:rFonts w:ascii="Garamond" w:hAnsi="Garamond" w:cs="Times New Roman"/>
          <w:noProof/>
          <w:sz w:val="24"/>
        </w:rPr>
        <w:tab/>
        <w:t xml:space="preserve">C. Beldek, E. Sariyildiz, S. L. Phung, and G. Alici, “GDA-YOLO11: Amodal Instance Segmentation for Occlusion-Robust Robotic Fruit Harvesting,” </w:t>
      </w:r>
      <w:r w:rsidRPr="00781D2A">
        <w:rPr>
          <w:rFonts w:ascii="Garamond" w:hAnsi="Garamond" w:cs="Times New Roman"/>
          <w:i/>
          <w:iCs/>
          <w:noProof/>
          <w:sz w:val="24"/>
        </w:rPr>
        <w:t>IEEE Trans. AgriFood Electron.</w:t>
      </w:r>
      <w:r w:rsidRPr="00781D2A">
        <w:rPr>
          <w:rFonts w:ascii="Garamond" w:hAnsi="Garamond" w:cs="Times New Roman"/>
          <w:noProof/>
          <w:sz w:val="24"/>
        </w:rPr>
        <w:t>, pp. 1–9, 2026, doi: 10.1109/TAFE.2026.3670352.</w:t>
      </w:r>
    </w:p>
    <w:p w14:paraId="6E7ED362"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[10]</w:t>
      </w:r>
      <w:r w:rsidRPr="00781D2A">
        <w:rPr>
          <w:rFonts w:ascii="Garamond" w:hAnsi="Garamond" w:cs="Times New Roman"/>
          <w:noProof/>
          <w:sz w:val="24"/>
        </w:rPr>
        <w:tab/>
        <w:t xml:space="preserve">Nilaksh Das, Sheng-Yun Peng, Duen Horng Chau, “SkeleVision: Towards Adversarial Resiliency of Person Tracking with Multi-Task Learning,” </w:t>
      </w:r>
      <w:r w:rsidRPr="00781D2A">
        <w:rPr>
          <w:rFonts w:ascii="Garamond" w:hAnsi="Garamond" w:cs="Times New Roman"/>
          <w:i/>
          <w:iCs/>
          <w:noProof/>
          <w:sz w:val="24"/>
        </w:rPr>
        <w:t>arXiv:2204.00734</w:t>
      </w:r>
      <w:r w:rsidRPr="00781D2A">
        <w:rPr>
          <w:rFonts w:ascii="Garamond" w:hAnsi="Garamond" w:cs="Times New Roman"/>
          <w:noProof/>
          <w:sz w:val="24"/>
        </w:rPr>
        <w:t>, 2022, [Online]. Available: https://arxiv.org/abs/2204.00734</w:t>
      </w:r>
    </w:p>
    <w:p w14:paraId="128052C3"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[11]</w:t>
      </w:r>
      <w:r w:rsidRPr="00781D2A">
        <w:rPr>
          <w:rFonts w:ascii="Garamond" w:hAnsi="Garamond" w:cs="Times New Roman"/>
          <w:noProof/>
          <w:sz w:val="24"/>
        </w:rPr>
        <w:tab/>
        <w:t xml:space="preserve">Chao Li, Qiaoyong Zhong, Di Xie, Shiliang Pu, “Skeleton-based Action Recognition with Convolutional Neural Networks,” </w:t>
      </w:r>
      <w:r w:rsidRPr="00781D2A">
        <w:rPr>
          <w:rFonts w:ascii="Garamond" w:hAnsi="Garamond" w:cs="Times New Roman"/>
          <w:i/>
          <w:iCs/>
          <w:noProof/>
          <w:sz w:val="24"/>
        </w:rPr>
        <w:t>arXiv:1704.07595</w:t>
      </w:r>
      <w:r w:rsidRPr="00781D2A">
        <w:rPr>
          <w:rFonts w:ascii="Garamond" w:hAnsi="Garamond" w:cs="Times New Roman"/>
          <w:noProof/>
          <w:sz w:val="24"/>
        </w:rPr>
        <w:t>, 2017, [Online]. Available: https://arxiv.org/abs/1704.07595</w:t>
      </w:r>
    </w:p>
    <w:p w14:paraId="5FF3B591"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[12]</w:t>
      </w:r>
      <w:r w:rsidRPr="00781D2A">
        <w:rPr>
          <w:rFonts w:ascii="Garamond" w:hAnsi="Garamond" w:cs="Times New Roman"/>
          <w:noProof/>
          <w:sz w:val="24"/>
        </w:rPr>
        <w:tab/>
        <w:t xml:space="preserve">Pichao Wang, Zhaoyang Li, Yonghong Hou, Wanqing Li, “Action Recognition Based on Joint Trajectory Maps Using Convolutional Neural Networks,” </w:t>
      </w:r>
      <w:r w:rsidRPr="00781D2A">
        <w:rPr>
          <w:rFonts w:ascii="Garamond" w:hAnsi="Garamond" w:cs="Times New Roman"/>
          <w:i/>
          <w:iCs/>
          <w:noProof/>
          <w:sz w:val="24"/>
        </w:rPr>
        <w:t>arXiv:1611.02447</w:t>
      </w:r>
      <w:r w:rsidRPr="00781D2A">
        <w:rPr>
          <w:rFonts w:ascii="Garamond" w:hAnsi="Garamond" w:cs="Times New Roman"/>
          <w:noProof/>
          <w:sz w:val="24"/>
        </w:rPr>
        <w:t>, 2016, [Online]. Available: https://arxiv.org/abs/1611.02447</w:t>
      </w:r>
    </w:p>
    <w:p w14:paraId="23895465"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[13]</w:t>
      </w:r>
      <w:r w:rsidRPr="00781D2A">
        <w:rPr>
          <w:rFonts w:ascii="Garamond" w:hAnsi="Garamond" w:cs="Times New Roman"/>
          <w:noProof/>
          <w:sz w:val="24"/>
        </w:rPr>
        <w:tab/>
        <w:t xml:space="preserve">Y. Hou, Z. Li, P. Wang, and W. Li, “Skeleton Optical Spectra-Based Action Recognition Using Convolutional Neural Networks,” </w:t>
      </w:r>
      <w:r w:rsidRPr="00781D2A">
        <w:rPr>
          <w:rFonts w:ascii="Garamond" w:hAnsi="Garamond" w:cs="Times New Roman"/>
          <w:i/>
          <w:iCs/>
          <w:noProof/>
          <w:sz w:val="24"/>
        </w:rPr>
        <w:t>IEEE Trans. Circuits Syst. Video Technol.</w:t>
      </w:r>
      <w:r w:rsidRPr="00781D2A">
        <w:rPr>
          <w:rFonts w:ascii="Garamond" w:hAnsi="Garamond" w:cs="Times New Roman"/>
          <w:noProof/>
          <w:sz w:val="24"/>
        </w:rPr>
        <w:t>, vol. 28, no. 3, pp. 807–811, Mar. 2018, doi: 10.1109/TCSVT.2016.2628339.</w:t>
      </w:r>
    </w:p>
    <w:p w14:paraId="66775C90"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[14]</w:t>
      </w:r>
      <w:r w:rsidRPr="00781D2A">
        <w:rPr>
          <w:rFonts w:ascii="Garamond" w:hAnsi="Garamond" w:cs="Times New Roman"/>
          <w:noProof/>
          <w:sz w:val="24"/>
        </w:rPr>
        <w:tab/>
        <w:t xml:space="preserve">C. Li, Y. Hou, P. Wang, and W. Li, “Joint Distance Maps Based Action Recognition with Convolutional Neural Networks,” </w:t>
      </w:r>
      <w:r w:rsidRPr="00781D2A">
        <w:rPr>
          <w:rFonts w:ascii="Garamond" w:hAnsi="Garamond" w:cs="Times New Roman"/>
          <w:i/>
          <w:iCs/>
          <w:noProof/>
          <w:sz w:val="24"/>
        </w:rPr>
        <w:t>IEEE Signal Process. Lett.</w:t>
      </w:r>
      <w:r w:rsidRPr="00781D2A">
        <w:rPr>
          <w:rFonts w:ascii="Garamond" w:hAnsi="Garamond" w:cs="Times New Roman"/>
          <w:noProof/>
          <w:sz w:val="24"/>
        </w:rPr>
        <w:t>, vol. 24, no. 5, pp. 624–628, May 2017, doi: 10.1109/LSP.2017.2678539.</w:t>
      </w:r>
    </w:p>
    <w:p w14:paraId="0C26F128"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[15]</w:t>
      </w:r>
      <w:r w:rsidRPr="00781D2A">
        <w:rPr>
          <w:rFonts w:ascii="Garamond" w:hAnsi="Garamond" w:cs="Times New Roman"/>
          <w:noProof/>
          <w:sz w:val="24"/>
        </w:rPr>
        <w:tab/>
        <w:t xml:space="preserve">Mengyuan Liu, Hong Liu, “Enhanced skeleton visualization for view invariant human action recognition,” </w:t>
      </w:r>
      <w:r w:rsidRPr="00781D2A">
        <w:rPr>
          <w:rFonts w:ascii="Garamond" w:hAnsi="Garamond" w:cs="Times New Roman"/>
          <w:i/>
          <w:iCs/>
          <w:noProof/>
          <w:sz w:val="24"/>
        </w:rPr>
        <w:t>Pattern Recognit.</w:t>
      </w:r>
      <w:r w:rsidRPr="00781D2A">
        <w:rPr>
          <w:rFonts w:ascii="Garamond" w:hAnsi="Garamond" w:cs="Times New Roman"/>
          <w:noProof/>
          <w:sz w:val="24"/>
        </w:rPr>
        <w:t>, vol. 68, pp. 346–362, 2017, doi: https://doi.org/10.1016/j.patcog.2017.02.030.</w:t>
      </w:r>
    </w:p>
    <w:p w14:paraId="4CFE5423"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[16]</w:t>
      </w:r>
      <w:r w:rsidRPr="00781D2A">
        <w:rPr>
          <w:rFonts w:ascii="Garamond" w:hAnsi="Garamond" w:cs="Times New Roman"/>
          <w:noProof/>
          <w:sz w:val="24"/>
        </w:rPr>
        <w:tab/>
        <w:t xml:space="preserve">Q. Ke, S. An, M. Bennamoun, F. Sohel, and F. Boussaid, “SkeletonNet: Mining Deep Part Features for 3-D Action Recognition,” </w:t>
      </w:r>
      <w:r w:rsidRPr="00781D2A">
        <w:rPr>
          <w:rFonts w:ascii="Garamond" w:hAnsi="Garamond" w:cs="Times New Roman"/>
          <w:i/>
          <w:iCs/>
          <w:noProof/>
          <w:sz w:val="24"/>
        </w:rPr>
        <w:t>IEEE Signal Process. Lett.</w:t>
      </w:r>
      <w:r w:rsidRPr="00781D2A">
        <w:rPr>
          <w:rFonts w:ascii="Garamond" w:hAnsi="Garamond" w:cs="Times New Roman"/>
          <w:noProof/>
          <w:sz w:val="24"/>
        </w:rPr>
        <w:t>, vol. 24, no. 6, pp. 731–735, Jun. 2017, doi: 10.1109/LSP.2017.2690339.</w:t>
      </w:r>
    </w:p>
    <w:p w14:paraId="53EE9CED"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[17]</w:t>
      </w:r>
      <w:r w:rsidRPr="00781D2A">
        <w:rPr>
          <w:rFonts w:ascii="Garamond" w:hAnsi="Garamond" w:cs="Times New Roman"/>
          <w:noProof/>
          <w:sz w:val="24"/>
        </w:rPr>
        <w:tab/>
        <w:t xml:space="preserve">Zhixuan Yang, Timing Li, “Semi-supervised Human Activity Recognition with individual difference alignment,” </w:t>
      </w:r>
      <w:r w:rsidRPr="00781D2A">
        <w:rPr>
          <w:rFonts w:ascii="Garamond" w:hAnsi="Garamond" w:cs="Times New Roman"/>
          <w:i/>
          <w:iCs/>
          <w:noProof/>
          <w:sz w:val="24"/>
        </w:rPr>
        <w:t>Expert Syst. Appl.</w:t>
      </w:r>
      <w:r w:rsidRPr="00781D2A">
        <w:rPr>
          <w:rFonts w:ascii="Garamond" w:hAnsi="Garamond" w:cs="Times New Roman"/>
          <w:noProof/>
          <w:sz w:val="24"/>
        </w:rPr>
        <w:t>, vol. 275, p. 126976, 2025, doi: https://doi.org/10.1016/j.eswa.2025.126976.</w:t>
      </w:r>
    </w:p>
    <w:p w14:paraId="0407249D"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[18]</w:t>
      </w:r>
      <w:r w:rsidRPr="00781D2A">
        <w:rPr>
          <w:rFonts w:ascii="Garamond" w:hAnsi="Garamond" w:cs="Times New Roman"/>
          <w:noProof/>
          <w:sz w:val="24"/>
        </w:rPr>
        <w:tab/>
        <w:t xml:space="preserve">Xi’ang Li, Jinqi Luo, “ActivityGAN: generative adversarial networks for data augmentation in sensor-based human activity recognition,” </w:t>
      </w:r>
      <w:r w:rsidRPr="00781D2A">
        <w:rPr>
          <w:rFonts w:ascii="Garamond" w:hAnsi="Garamond" w:cs="Times New Roman"/>
          <w:i/>
          <w:iCs/>
          <w:noProof/>
          <w:sz w:val="24"/>
        </w:rPr>
        <w:t>UbiComp/ISWC 2020 Adjun. - Proc. 2020 ACM Int. Jt. Conf. Pervasive Ubiquitous Comput. Proc. 2020 ACM Int. Symp. Wearable Comput.</w:t>
      </w:r>
      <w:r w:rsidRPr="00781D2A">
        <w:rPr>
          <w:rFonts w:ascii="Garamond" w:hAnsi="Garamond" w:cs="Times New Roman"/>
          <w:noProof/>
          <w:sz w:val="24"/>
        </w:rPr>
        <w:t>, 2020, [Online]. Available: https://dl.acm.org/doi/10.1145/3410530.3414367</w:t>
      </w:r>
    </w:p>
    <w:p w14:paraId="21145FD2"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[19]</w:t>
      </w:r>
      <w:r w:rsidRPr="00781D2A">
        <w:rPr>
          <w:rFonts w:ascii="Garamond" w:hAnsi="Garamond" w:cs="Times New Roman"/>
          <w:noProof/>
          <w:sz w:val="24"/>
        </w:rPr>
        <w:tab/>
        <w:t xml:space="preserve">Alireza Abedin, Hamid Rezatofighi, Damith C. Ranasinghe, “Guided-GAN: Adversarial Representation Learning for Activity Recognition with Wearables,” </w:t>
      </w:r>
      <w:r w:rsidRPr="00781D2A">
        <w:rPr>
          <w:rFonts w:ascii="Garamond" w:hAnsi="Garamond" w:cs="Times New Roman"/>
          <w:i/>
          <w:iCs/>
          <w:noProof/>
          <w:sz w:val="24"/>
        </w:rPr>
        <w:t>arXiv:2110.05732</w:t>
      </w:r>
      <w:r w:rsidRPr="00781D2A">
        <w:rPr>
          <w:rFonts w:ascii="Garamond" w:hAnsi="Garamond" w:cs="Times New Roman"/>
          <w:noProof/>
          <w:sz w:val="24"/>
        </w:rPr>
        <w:t>, 2021, [Online]. Available: https://arxiv.org/abs/2110.05732</w:t>
      </w:r>
    </w:p>
    <w:p w14:paraId="25ACCB64"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[20]</w:t>
      </w:r>
      <w:r w:rsidRPr="00781D2A">
        <w:rPr>
          <w:rFonts w:ascii="Garamond" w:hAnsi="Garamond" w:cs="Times New Roman"/>
          <w:noProof/>
          <w:sz w:val="24"/>
        </w:rPr>
        <w:tab/>
        <w:t xml:space="preserve">M. M. Rahman, S. Z. Gurbuz, and M. G. Amin, “Physics-Aware Generative Adversarial Networks for Radar-Based Human Activity Recognition,” </w:t>
      </w:r>
      <w:r w:rsidRPr="00781D2A">
        <w:rPr>
          <w:rFonts w:ascii="Garamond" w:hAnsi="Garamond" w:cs="Times New Roman"/>
          <w:i/>
          <w:iCs/>
          <w:noProof/>
          <w:sz w:val="24"/>
        </w:rPr>
        <w:t>IEEE Trans. Aerosp. Electron. Syst.</w:t>
      </w:r>
      <w:r w:rsidRPr="00781D2A">
        <w:rPr>
          <w:rFonts w:ascii="Garamond" w:hAnsi="Garamond" w:cs="Times New Roman"/>
          <w:noProof/>
          <w:sz w:val="24"/>
        </w:rPr>
        <w:t>, vol. 59, no. 3, pp. 2994–3008, Jun. 2023, doi: 10.1109/TAES.2022.3221023.</w:t>
      </w:r>
    </w:p>
    <w:p w14:paraId="71037578"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[21]</w:t>
      </w:r>
      <w:r w:rsidRPr="00781D2A">
        <w:rPr>
          <w:rFonts w:ascii="Garamond" w:hAnsi="Garamond" w:cs="Times New Roman"/>
          <w:noProof/>
          <w:sz w:val="24"/>
        </w:rPr>
        <w:tab/>
        <w:t xml:space="preserve">Elnaz Soleimani, Ehsan Nazerfard, “Cross-subject transfer learning in human activity recognition systems using generative adversarial networks,” </w:t>
      </w:r>
      <w:r w:rsidRPr="00781D2A">
        <w:rPr>
          <w:rFonts w:ascii="Garamond" w:hAnsi="Garamond" w:cs="Times New Roman"/>
          <w:i/>
          <w:iCs/>
          <w:noProof/>
          <w:sz w:val="24"/>
        </w:rPr>
        <w:t>Neurocomputing</w:t>
      </w:r>
      <w:r w:rsidRPr="00781D2A">
        <w:rPr>
          <w:rFonts w:ascii="Garamond" w:hAnsi="Garamond" w:cs="Times New Roman"/>
          <w:noProof/>
          <w:sz w:val="24"/>
        </w:rPr>
        <w:t>, vol. 426, pp. 26–34, 2021, doi: https://doi.org/10.1016/j.neucom.2020.10.056.</w:t>
      </w:r>
    </w:p>
    <w:p w14:paraId="2CBE7B00"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[22]</w:t>
      </w:r>
      <w:r w:rsidRPr="00781D2A">
        <w:rPr>
          <w:rFonts w:ascii="Garamond" w:hAnsi="Garamond" w:cs="Times New Roman"/>
          <w:noProof/>
          <w:sz w:val="24"/>
        </w:rPr>
        <w:tab/>
        <w:t>“Fully Connected Generative Adversarial Network for Human Activity Recognition | IEEE Journals &amp; Magazine | IEEE Xplore.” Accessed: Apr. 22, 2026. [Online]. Available: https://ieeexplore.ieee.org/document/9893100</w:t>
      </w:r>
    </w:p>
    <w:p w14:paraId="228172F6"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[23]</w:t>
      </w:r>
      <w:r w:rsidRPr="00781D2A">
        <w:rPr>
          <w:rFonts w:ascii="Garamond" w:hAnsi="Garamond" w:cs="Times New Roman"/>
          <w:noProof/>
          <w:sz w:val="24"/>
        </w:rPr>
        <w:tab/>
        <w:t xml:space="preserve">L. Qu, Y. Wang, T. Yang, and Y. Sun, “Human Activity Recognition Based on WRGAN-GP-Synthesized Micro-Doppler Spectrograms,” </w:t>
      </w:r>
      <w:r w:rsidRPr="00781D2A">
        <w:rPr>
          <w:rFonts w:ascii="Garamond" w:hAnsi="Garamond" w:cs="Times New Roman"/>
          <w:i/>
          <w:iCs/>
          <w:noProof/>
          <w:sz w:val="24"/>
        </w:rPr>
        <w:t>IEEE Sens. J.</w:t>
      </w:r>
      <w:r w:rsidRPr="00781D2A">
        <w:rPr>
          <w:rFonts w:ascii="Garamond" w:hAnsi="Garamond" w:cs="Times New Roman"/>
          <w:noProof/>
          <w:sz w:val="24"/>
        </w:rPr>
        <w:t>, vol. 22, no. 9, pp. 8960–8973, May 2022, doi: 10.1109/JSEN.2022.3164152.</w:t>
      </w:r>
    </w:p>
    <w:p w14:paraId="5B24178A"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[24]</w:t>
      </w:r>
      <w:r w:rsidRPr="00781D2A">
        <w:rPr>
          <w:rFonts w:ascii="Garamond" w:hAnsi="Garamond" w:cs="Times New Roman"/>
          <w:noProof/>
          <w:sz w:val="24"/>
        </w:rPr>
        <w:tab/>
        <w:t xml:space="preserve">J. Wang, Y. Chen, Y. Gu, Y. Xiao, and H. Pan, “SensoryGANs: An Effective Generative Adversarial Framework for Sensor-based Human Activity Recognition,” </w:t>
      </w:r>
      <w:r w:rsidRPr="00781D2A">
        <w:rPr>
          <w:rFonts w:ascii="Garamond" w:hAnsi="Garamond" w:cs="Times New Roman"/>
          <w:i/>
          <w:iCs/>
          <w:noProof/>
          <w:sz w:val="24"/>
        </w:rPr>
        <w:t>Proc. Int. Jt. Conf. Neural Networks</w:t>
      </w:r>
      <w:r w:rsidRPr="00781D2A">
        <w:rPr>
          <w:rFonts w:ascii="Garamond" w:hAnsi="Garamond" w:cs="Times New Roman"/>
          <w:noProof/>
          <w:sz w:val="24"/>
        </w:rPr>
        <w:t>, vol. 2018-July, Oct. 2018, doi: 10.1109/IJCNN.2018.8489106.</w:t>
      </w:r>
    </w:p>
    <w:p w14:paraId="12A7F09D" w14:textId="77777777" w:rsidR="00781D2A" w:rsidRPr="00781D2A" w:rsidRDefault="00781D2A" w:rsidP="00781D2A">
      <w:pPr>
        <w:widowControl w:val="0"/>
        <w:autoSpaceDE w:val="0"/>
        <w:autoSpaceDN w:val="0"/>
        <w:adjustRightInd w:val="0"/>
        <w:spacing w:after="0" w:line="240" w:lineRule="auto"/>
        <w:ind w:left="640" w:hanging="640"/>
        <w:rPr>
          <w:rFonts w:ascii="Garamond" w:hAnsi="Garamond" w:cs="Times New Roman"/>
          <w:noProof/>
          <w:sz w:val="24"/>
        </w:rPr>
      </w:pPr>
      <w:r w:rsidRPr="00781D2A">
        <w:rPr>
          <w:rFonts w:ascii="Garamond" w:hAnsi="Garamond" w:cs="Times New Roman"/>
          <w:noProof/>
          <w:sz w:val="24"/>
        </w:rPr>
        <w:t>[25]</w:t>
      </w:r>
      <w:r w:rsidRPr="00781D2A">
        <w:rPr>
          <w:rFonts w:ascii="Garamond" w:hAnsi="Garamond" w:cs="Times New Roman"/>
          <w:noProof/>
          <w:sz w:val="24"/>
        </w:rPr>
        <w:tab/>
        <w:t xml:space="preserve">Harshala Gammulle, Simon Denman, Sridha Sridharan, Clinton Fookes, “Multi-Level Sequence GAN for Group Activity Recognition,” </w:t>
      </w:r>
      <w:r w:rsidRPr="00781D2A">
        <w:rPr>
          <w:rFonts w:ascii="Garamond" w:hAnsi="Garamond" w:cs="Times New Roman"/>
          <w:i/>
          <w:iCs/>
          <w:noProof/>
          <w:sz w:val="24"/>
        </w:rPr>
        <w:t>arXiv:1812.07124</w:t>
      </w:r>
      <w:r w:rsidRPr="00781D2A">
        <w:rPr>
          <w:rFonts w:ascii="Garamond" w:hAnsi="Garamond" w:cs="Times New Roman"/>
          <w:noProof/>
          <w:sz w:val="24"/>
        </w:rPr>
        <w:t>, 2018, [Online]. Available: https://arxiv.org/abs/1812.07124</w:t>
      </w:r>
    </w:p>
    <w:p w14:paraId="5FF166FD" w14:textId="3EC2FE8B" w:rsidR="0043438F" w:rsidRPr="000101FA" w:rsidRDefault="00781D2A" w:rsidP="00781D2A">
      <w:pPr>
        <w:widowControl w:val="0"/>
        <w:autoSpaceDE w:val="0"/>
        <w:autoSpaceDN w:val="0"/>
        <w:adjustRightInd w:val="0"/>
        <w:spacing w:after="0" w:line="240" w:lineRule="auto"/>
        <w:ind w:left="640" w:hanging="640"/>
        <w:rPr>
          <w:rFonts w:ascii="Garamond" w:eastAsia="Garamond" w:hAnsi="Garamond" w:cs="Garamond"/>
          <w:color w:val="000000" w:themeColor="text1"/>
          <w:sz w:val="24"/>
          <w:szCs w:val="24"/>
        </w:rPr>
      </w:pPr>
      <w:r w:rsidRPr="00781D2A">
        <w:rPr>
          <w:rFonts w:ascii="Garamond" w:hAnsi="Garamond" w:cs="Times New Roman"/>
          <w:noProof/>
          <w:sz w:val="24"/>
        </w:rPr>
        <w:t>[26]</w:t>
      </w:r>
      <w:r w:rsidRPr="00781D2A">
        <w:rPr>
          <w:rFonts w:ascii="Garamond" w:hAnsi="Garamond" w:cs="Times New Roman"/>
          <w:noProof/>
          <w:sz w:val="24"/>
        </w:rPr>
        <w:tab/>
        <w:t>“Find Open Datasets and Machine Learning Projects | Kaggle.” Accessed: Mar. 31, 2026. [Online]. Available: https://www.kaggle.com/datasets</w:t>
      </w:r>
      <w:r>
        <w:rPr>
          <w:rFonts w:ascii="Garamond" w:eastAsia="Garamond" w:hAnsi="Garamond" w:cs="Garamond"/>
          <w:color w:val="000000" w:themeColor="text1"/>
          <w:sz w:val="24"/>
          <w:szCs w:val="24"/>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6670"/>
      </w:tblGrid>
      <w:tr w:rsidR="00D54C09" w:rsidRPr="000101FA" w14:paraId="278B72BF" w14:textId="77777777" w:rsidTr="6F90D69E">
        <w:tc>
          <w:tcPr>
            <w:tcW w:w="1960" w:type="dxa"/>
          </w:tcPr>
          <w:p w14:paraId="2EF46B34" w14:textId="77777777" w:rsidR="00F15C29" w:rsidRPr="000101FA" w:rsidRDefault="00F15C29" w:rsidP="6F90D69E">
            <w:pPr>
              <w:jc w:val="both"/>
              <w:rPr>
                <w:rFonts w:ascii="Garamond" w:eastAsia="Garamond" w:hAnsi="Garamond" w:cs="Garamond"/>
                <w:color w:val="000000" w:themeColor="text1"/>
                <w:sz w:val="24"/>
                <w:szCs w:val="24"/>
              </w:rPr>
            </w:pPr>
            <w:bookmarkStart w:id="5" w:name="_Hlk120457989"/>
            <w:r w:rsidRPr="000101FA">
              <w:rPr>
                <w:rFonts w:ascii="Garamond" w:hAnsi="Garamond"/>
                <w:noProof/>
                <w:color w:val="000000" w:themeColor="text1"/>
                <w:sz w:val="24"/>
                <w:szCs w:val="24"/>
              </w:rPr>
              <w:drawing>
                <wp:inline distT="0" distB="0" distL="0" distR="0" wp14:anchorId="4B6D5576" wp14:editId="18E0EE28">
                  <wp:extent cx="1104900" cy="390525"/>
                  <wp:effectExtent l="0" t="0" r="0" b="9525"/>
                  <wp:docPr id="31" name="Picture 31" descr="Image result for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4900" cy="390525"/>
                          </a:xfrm>
                          <a:prstGeom prst="rect">
                            <a:avLst/>
                          </a:prstGeom>
                        </pic:spPr>
                      </pic:pic>
                    </a:graphicData>
                  </a:graphic>
                </wp:inline>
              </w:drawing>
            </w:r>
          </w:p>
        </w:tc>
        <w:tc>
          <w:tcPr>
            <w:tcW w:w="6670" w:type="dxa"/>
          </w:tcPr>
          <w:p w14:paraId="71C18154" w14:textId="4FD365E3" w:rsidR="00F15C29" w:rsidRPr="000101FA" w:rsidRDefault="6F90D69E" w:rsidP="6F90D69E">
            <w:pPr>
              <w:jc w:val="both"/>
              <w:rPr>
                <w:rFonts w:ascii="Garamond" w:eastAsia="Garamond" w:hAnsi="Garamond" w:cs="Garamond"/>
                <w:color w:val="000000" w:themeColor="text1"/>
                <w:sz w:val="24"/>
                <w:szCs w:val="24"/>
              </w:rPr>
            </w:pPr>
            <w:r w:rsidRPr="000101FA">
              <w:rPr>
                <w:rFonts w:ascii="Garamond" w:eastAsia="Garamond" w:hAnsi="Garamond" w:cs="Garamond"/>
                <w:color w:val="000000" w:themeColor="text1"/>
                <w:sz w:val="24"/>
                <w:szCs w:val="24"/>
              </w:rPr>
              <w:t xml:space="preserve">Copyright © by authors and 50Sea. This work is licensed under </w:t>
            </w:r>
            <w:r w:rsidR="00CC5840">
              <w:rPr>
                <w:rFonts w:ascii="Garamond" w:eastAsia="Garamond" w:hAnsi="Garamond" w:cs="Garamond"/>
                <w:color w:val="000000" w:themeColor="text1"/>
                <w:sz w:val="24"/>
                <w:szCs w:val="24"/>
              </w:rPr>
              <w:t xml:space="preserve">the </w:t>
            </w:r>
            <w:r w:rsidRPr="000101FA">
              <w:rPr>
                <w:rFonts w:ascii="Garamond" w:eastAsia="Garamond" w:hAnsi="Garamond" w:cs="Garamond"/>
                <w:color w:val="000000" w:themeColor="text1"/>
                <w:sz w:val="24"/>
                <w:szCs w:val="24"/>
              </w:rPr>
              <w:t xml:space="preserve">Creative Commons Attribution 4.0 International License. </w:t>
            </w:r>
          </w:p>
        </w:tc>
      </w:tr>
    </w:tbl>
    <w:bookmarkEnd w:id="5"/>
    <w:p w14:paraId="06DE5B30" w14:textId="79001548" w:rsidR="004E25B0" w:rsidRPr="00015D59" w:rsidRDefault="00015D59" w:rsidP="00015D59">
      <w:pPr>
        <w:pStyle w:val="ListParagraph"/>
        <w:spacing w:after="0" w:line="240" w:lineRule="auto"/>
        <w:ind w:left="360"/>
        <w:jc w:val="both"/>
        <w:rPr>
          <w:rFonts w:ascii="Garamond" w:hAnsi="Garamond"/>
        </w:rPr>
      </w:pPr>
      <w:r w:rsidRPr="002A5C3A">
        <w:rPr>
          <w:rFonts w:ascii="Garamond" w:hAnsi="Garamond"/>
        </w:rPr>
        <w:t xml:space="preserve"> </w:t>
      </w:r>
    </w:p>
    <w:sectPr w:rsidR="004E25B0" w:rsidRPr="00015D59" w:rsidSect="00B8172E">
      <w:pgSz w:w="10800" w:h="14400"/>
      <w:pgMar w:top="0" w:right="720" w:bottom="274" w:left="1440" w:header="0" w:footer="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B9CA0" w14:textId="77777777" w:rsidR="00F25D5C" w:rsidRDefault="00F25D5C" w:rsidP="00DF2A64">
      <w:pPr>
        <w:spacing w:after="0" w:line="240" w:lineRule="auto"/>
      </w:pPr>
      <w:r>
        <w:separator/>
      </w:r>
    </w:p>
  </w:endnote>
  <w:endnote w:type="continuationSeparator" w:id="0">
    <w:p w14:paraId="02226A45" w14:textId="77777777" w:rsidR="00F25D5C" w:rsidRDefault="00F25D5C" w:rsidP="00DF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MT">
    <w:altName w:val="Arial"/>
    <w:charset w:val="01"/>
    <w:family w:val="swiss"/>
    <w:pitch w:val="variable"/>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75305559"/>
      <w:docPartObj>
        <w:docPartGallery w:val="Page Numbers (Bottom of Page)"/>
        <w:docPartUnique/>
      </w:docPartObj>
    </w:sdtPr>
    <w:sdtEndPr>
      <w:rPr>
        <w:noProof/>
      </w:rPr>
    </w:sdtEndPr>
    <w:sdtContent>
      <w:p w14:paraId="742AEA60" w14:textId="17D7AC75" w:rsidR="00F6278A" w:rsidRPr="00186E63" w:rsidRDefault="001572A1" w:rsidP="00186E63">
        <w:pPr>
          <w:pStyle w:val="Footer"/>
          <w:pBdr>
            <w:top w:val="single" w:sz="4" w:space="1" w:color="auto"/>
          </w:pBdr>
          <w:jc w:val="center"/>
          <w:rPr>
            <w:noProof/>
            <w:sz w:val="24"/>
            <w:szCs w:val="24"/>
          </w:rPr>
        </w:pPr>
        <w:r>
          <w:rPr>
            <w:rFonts w:ascii="Garamond" w:hAnsi="Garamond"/>
            <w:w w:val="110"/>
            <w:sz w:val="24"/>
            <w:szCs w:val="24"/>
          </w:rPr>
          <w:t xml:space="preserve">Special Issue                                   </w:t>
        </w:r>
        <w:r w:rsidR="00AC033E">
          <w:rPr>
            <w:rFonts w:ascii="Garamond" w:hAnsi="Garamond"/>
            <w:w w:val="110"/>
            <w:sz w:val="24"/>
            <w:szCs w:val="24"/>
          </w:rPr>
          <w:t xml:space="preserve">                                                  </w:t>
        </w:r>
        <w:r w:rsidR="0007689F" w:rsidRPr="00186E63">
          <w:rPr>
            <w:rFonts w:ascii="Garamond" w:hAnsi="Garamond"/>
            <w:w w:val="110"/>
            <w:sz w:val="24"/>
            <w:szCs w:val="24"/>
          </w:rPr>
          <w:t xml:space="preserve">      </w:t>
        </w:r>
        <w:r w:rsidR="00D00196" w:rsidRPr="00186E63">
          <w:rPr>
            <w:rFonts w:ascii="Garamond" w:hAnsi="Garamond"/>
            <w:w w:val="110"/>
            <w:sz w:val="24"/>
            <w:szCs w:val="24"/>
          </w:rPr>
          <w:t xml:space="preserve">  </w:t>
        </w:r>
        <w:r w:rsidR="00D00196" w:rsidRPr="00186E63">
          <w:rPr>
            <w:rFonts w:ascii="Garamond" w:hAnsi="Garamond"/>
            <w:w w:val="105"/>
            <w:sz w:val="24"/>
            <w:szCs w:val="24"/>
          </w:rPr>
          <w:t xml:space="preserve">Page </w:t>
        </w:r>
        <w:r w:rsidR="00D00196" w:rsidRPr="00186E63">
          <w:rPr>
            <w:rFonts w:ascii="Garamond" w:hAnsi="Garamond"/>
            <w:w w:val="220"/>
            <w:sz w:val="24"/>
            <w:szCs w:val="24"/>
          </w:rPr>
          <w:t>|</w:t>
        </w:r>
        <w:r w:rsidR="00D00196" w:rsidRPr="00186E63">
          <w:rPr>
            <w:rFonts w:ascii="Garamond" w:hAnsi="Garamond"/>
            <w:sz w:val="24"/>
            <w:szCs w:val="24"/>
          </w:rPr>
          <w:fldChar w:fldCharType="begin"/>
        </w:r>
        <w:r w:rsidR="00D00196" w:rsidRPr="00186E63">
          <w:rPr>
            <w:rFonts w:ascii="Garamond" w:hAnsi="Garamond"/>
            <w:sz w:val="24"/>
            <w:szCs w:val="24"/>
          </w:rPr>
          <w:instrText xml:space="preserve"> PAGE   \* MERGEFORMAT </w:instrText>
        </w:r>
        <w:r w:rsidR="00D00196" w:rsidRPr="00186E63">
          <w:rPr>
            <w:rFonts w:ascii="Garamond" w:hAnsi="Garamond"/>
            <w:sz w:val="24"/>
            <w:szCs w:val="24"/>
          </w:rPr>
          <w:fldChar w:fldCharType="separate"/>
        </w:r>
        <w:r w:rsidR="00FC0583">
          <w:rPr>
            <w:rFonts w:ascii="Garamond" w:hAnsi="Garamond"/>
            <w:noProof/>
            <w:sz w:val="24"/>
            <w:szCs w:val="24"/>
          </w:rPr>
          <w:t>176</w:t>
        </w:r>
        <w:r w:rsidR="00D00196" w:rsidRPr="00186E63">
          <w:rPr>
            <w:rFonts w:ascii="Garamond" w:hAnsi="Garamond"/>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20052" w14:textId="77777777" w:rsidR="00F25D5C" w:rsidRDefault="00F25D5C" w:rsidP="00DF2A64">
      <w:pPr>
        <w:spacing w:after="0" w:line="240" w:lineRule="auto"/>
      </w:pPr>
      <w:r>
        <w:separator/>
      </w:r>
    </w:p>
  </w:footnote>
  <w:footnote w:type="continuationSeparator" w:id="0">
    <w:p w14:paraId="44394EFB" w14:textId="77777777" w:rsidR="00F25D5C" w:rsidRDefault="00F25D5C" w:rsidP="00DF2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D2AC3" w14:textId="41CEEF50" w:rsidR="00F6278A" w:rsidRPr="0031151F" w:rsidRDefault="00AC4527" w:rsidP="00BE68C6">
    <w:pPr>
      <w:pStyle w:val="BodyText"/>
      <w:pBdr>
        <w:bottom w:val="single" w:sz="4" w:space="1" w:color="auto"/>
      </w:pBdr>
      <w:ind w:left="20"/>
      <w:jc w:val="both"/>
      <w:rPr>
        <w:rFonts w:ascii="Garamond" w:hAnsi="Garamond"/>
        <w:color w:val="00B050"/>
      </w:rPr>
    </w:pPr>
    <w:r w:rsidRPr="0031151F">
      <w:rPr>
        <w:rFonts w:ascii="Garamond" w:hAnsi="Garamond"/>
        <w:noProof/>
      </w:rPr>
      <w:drawing>
        <wp:inline distT="0" distB="0" distL="0" distR="0" wp14:anchorId="07654DEE" wp14:editId="546B4541">
          <wp:extent cx="657225" cy="238125"/>
          <wp:effectExtent l="0" t="0" r="9525" b="9525"/>
          <wp:docPr id="1557254498" name="Picture 155725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1151F">
      <w:rPr>
        <w:rFonts w:ascii="Garamond" w:hAnsi="Garamond"/>
        <w:color w:val="00B050"/>
      </w:rPr>
      <w:t xml:space="preserve">                    </w:t>
    </w:r>
    <w:r w:rsidR="000101FA">
      <w:rPr>
        <w:rFonts w:ascii="Garamond" w:hAnsi="Garamond"/>
        <w:color w:val="00B050"/>
      </w:rPr>
      <w:t xml:space="preserve">   </w:t>
    </w:r>
    <w:r w:rsidRPr="0031151F">
      <w:rPr>
        <w:rFonts w:ascii="Garamond" w:hAnsi="Garamond"/>
        <w:color w:val="00B050"/>
      </w:rPr>
      <w:t xml:space="preserve">  </w:t>
    </w:r>
    <w:r w:rsidR="00140AC8" w:rsidRPr="0031151F">
      <w:rPr>
        <w:rFonts w:ascii="Garamond" w:hAnsi="Garamond"/>
        <w:color w:val="00B050"/>
      </w:rPr>
      <w:t xml:space="preserve">     </w:t>
    </w:r>
    <w:r w:rsidRPr="0031151F">
      <w:rPr>
        <w:rFonts w:ascii="Garamond" w:hAnsi="Garamond"/>
        <w:color w:val="00B050"/>
      </w:rPr>
      <w:t xml:space="preserve">   </w:t>
    </w:r>
    <w:bookmarkStart w:id="3" w:name="_Hlk138425995"/>
    <w:r w:rsidR="00C07C2D" w:rsidRPr="0031151F">
      <w:rPr>
        <w:rFonts w:ascii="Garamond" w:hAnsi="Garamond"/>
        <w:color w:val="FF0000"/>
      </w:rPr>
      <w:t>International Journal of Innovations in Science &amp; Technology</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4562"/>
    <w:multiLevelType w:val="multilevel"/>
    <w:tmpl w:val="EB9C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4487F"/>
    <w:multiLevelType w:val="multilevel"/>
    <w:tmpl w:val="D2D00C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86C4694"/>
    <w:multiLevelType w:val="multilevel"/>
    <w:tmpl w:val="F64E9F9E"/>
    <w:lvl w:ilvl="0">
      <w:start w:val="4"/>
      <w:numFmt w:val="decimal"/>
      <w:lvlText w:val="%1"/>
      <w:lvlJc w:val="left"/>
      <w:pPr>
        <w:ind w:left="1220" w:hanging="480"/>
      </w:pPr>
      <w:rPr>
        <w:rFonts w:hint="default"/>
        <w:lang w:val="en-US" w:eastAsia="en-US" w:bidi="ar-SA"/>
      </w:rPr>
    </w:lvl>
    <w:lvl w:ilvl="1">
      <w:start w:val="1"/>
      <w:numFmt w:val="decimal"/>
      <w:lvlText w:val="%1.%2"/>
      <w:lvlJc w:val="left"/>
      <w:pPr>
        <w:ind w:left="1220" w:hanging="480"/>
      </w:pPr>
      <w:rPr>
        <w:rFonts w:ascii="Times New Roman" w:eastAsia="Times New Roman" w:hAnsi="Times New Roman" w:cs="Times New Roman" w:hint="default"/>
        <w:b/>
        <w:bCs/>
        <w:i w:val="0"/>
        <w:iCs w:val="0"/>
        <w:spacing w:val="0"/>
        <w:w w:val="99"/>
        <w:sz w:val="32"/>
        <w:szCs w:val="32"/>
        <w:lang w:val="en-US" w:eastAsia="en-US" w:bidi="ar-SA"/>
      </w:rPr>
    </w:lvl>
    <w:lvl w:ilvl="2">
      <w:start w:val="1"/>
      <w:numFmt w:val="decimal"/>
      <w:lvlText w:val="%1.%2.%3"/>
      <w:lvlJc w:val="left"/>
      <w:pPr>
        <w:ind w:left="1371" w:hanging="632"/>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146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716" w:hanging="720"/>
      </w:pPr>
      <w:rPr>
        <w:rFonts w:hint="default"/>
        <w:lang w:val="en-US" w:eastAsia="en-US" w:bidi="ar-SA"/>
      </w:rPr>
    </w:lvl>
    <w:lvl w:ilvl="5">
      <w:numFmt w:val="bullet"/>
      <w:lvlText w:val="•"/>
      <w:lvlJc w:val="left"/>
      <w:pPr>
        <w:ind w:left="4844" w:hanging="720"/>
      </w:pPr>
      <w:rPr>
        <w:rFonts w:hint="default"/>
        <w:lang w:val="en-US" w:eastAsia="en-US" w:bidi="ar-SA"/>
      </w:rPr>
    </w:lvl>
    <w:lvl w:ilvl="6">
      <w:numFmt w:val="bullet"/>
      <w:lvlText w:val="•"/>
      <w:lvlJc w:val="left"/>
      <w:pPr>
        <w:ind w:left="5973" w:hanging="720"/>
      </w:pPr>
      <w:rPr>
        <w:rFonts w:hint="default"/>
        <w:lang w:val="en-US" w:eastAsia="en-US" w:bidi="ar-SA"/>
      </w:rPr>
    </w:lvl>
    <w:lvl w:ilvl="7">
      <w:numFmt w:val="bullet"/>
      <w:lvlText w:val="•"/>
      <w:lvlJc w:val="left"/>
      <w:pPr>
        <w:ind w:left="7101" w:hanging="720"/>
      </w:pPr>
      <w:rPr>
        <w:rFonts w:hint="default"/>
        <w:lang w:val="en-US" w:eastAsia="en-US" w:bidi="ar-SA"/>
      </w:rPr>
    </w:lvl>
    <w:lvl w:ilvl="8">
      <w:numFmt w:val="bullet"/>
      <w:lvlText w:val="•"/>
      <w:lvlJc w:val="left"/>
      <w:pPr>
        <w:ind w:left="8229" w:hanging="720"/>
      </w:pPr>
      <w:rPr>
        <w:rFonts w:hint="default"/>
        <w:lang w:val="en-US" w:eastAsia="en-US" w:bidi="ar-SA"/>
      </w:rPr>
    </w:lvl>
  </w:abstractNum>
  <w:abstractNum w:abstractNumId="3" w15:restartNumberingAfterBreak="0">
    <w:nsid w:val="0DD27262"/>
    <w:multiLevelType w:val="multilevel"/>
    <w:tmpl w:val="F9720F4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A182DA5"/>
    <w:multiLevelType w:val="multilevel"/>
    <w:tmpl w:val="886291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912A35"/>
    <w:multiLevelType w:val="hybridMultilevel"/>
    <w:tmpl w:val="56E4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B184D"/>
    <w:multiLevelType w:val="multilevel"/>
    <w:tmpl w:val="EC68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64C7E"/>
    <w:multiLevelType w:val="multilevel"/>
    <w:tmpl w:val="8DA8FD7C"/>
    <w:lvl w:ilvl="0">
      <w:start w:val="1"/>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27EC439A"/>
    <w:multiLevelType w:val="multilevel"/>
    <w:tmpl w:val="5AA02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D661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AF61ED"/>
    <w:multiLevelType w:val="multilevel"/>
    <w:tmpl w:val="0B983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DF2418"/>
    <w:multiLevelType w:val="hybridMultilevel"/>
    <w:tmpl w:val="4FE69246"/>
    <w:lvl w:ilvl="0" w:tplc="FA3EC18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657F19"/>
    <w:multiLevelType w:val="hybridMultilevel"/>
    <w:tmpl w:val="7AA47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BD5A6E"/>
    <w:multiLevelType w:val="hybridMultilevel"/>
    <w:tmpl w:val="F3B62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100363"/>
    <w:multiLevelType w:val="hybridMultilevel"/>
    <w:tmpl w:val="290056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B7B2102"/>
    <w:multiLevelType w:val="multilevel"/>
    <w:tmpl w:val="2846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4B409B"/>
    <w:multiLevelType w:val="multilevel"/>
    <w:tmpl w:val="710431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DE657E"/>
    <w:multiLevelType w:val="multilevel"/>
    <w:tmpl w:val="90688FDE"/>
    <w:lvl w:ilvl="0">
      <w:start w:val="1"/>
      <w:numFmt w:val="decimal"/>
      <w:lvlText w:val="%1."/>
      <w:lvlJc w:val="left"/>
      <w:pPr>
        <w:ind w:left="460" w:hanging="361"/>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2)"/>
      <w:lvlJc w:val="left"/>
      <w:pPr>
        <w:ind w:left="460" w:hanging="262"/>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2.%3"/>
      <w:lvlJc w:val="left"/>
      <w:pPr>
        <w:ind w:left="882" w:hanging="423"/>
      </w:pPr>
      <w:rPr>
        <w:rFonts w:hint="default"/>
        <w:spacing w:val="0"/>
        <w:w w:val="100"/>
        <w:lang w:val="en-US" w:eastAsia="en-US" w:bidi="ar-SA"/>
      </w:rPr>
    </w:lvl>
    <w:lvl w:ilvl="3">
      <w:numFmt w:val="bullet"/>
      <w:lvlText w:val="•"/>
      <w:lvlJc w:val="left"/>
      <w:pPr>
        <w:ind w:left="3151" w:hanging="423"/>
      </w:pPr>
      <w:rPr>
        <w:rFonts w:hint="default"/>
        <w:lang w:val="en-US" w:eastAsia="en-US" w:bidi="ar-SA"/>
      </w:rPr>
    </w:lvl>
    <w:lvl w:ilvl="4">
      <w:numFmt w:val="bullet"/>
      <w:lvlText w:val="•"/>
      <w:lvlJc w:val="left"/>
      <w:pPr>
        <w:ind w:left="4286" w:hanging="423"/>
      </w:pPr>
      <w:rPr>
        <w:rFonts w:hint="default"/>
        <w:lang w:val="en-US" w:eastAsia="en-US" w:bidi="ar-SA"/>
      </w:rPr>
    </w:lvl>
    <w:lvl w:ilvl="5">
      <w:numFmt w:val="bullet"/>
      <w:lvlText w:val="•"/>
      <w:lvlJc w:val="left"/>
      <w:pPr>
        <w:ind w:left="5422" w:hanging="423"/>
      </w:pPr>
      <w:rPr>
        <w:rFonts w:hint="default"/>
        <w:lang w:val="en-US" w:eastAsia="en-US" w:bidi="ar-SA"/>
      </w:rPr>
    </w:lvl>
    <w:lvl w:ilvl="6">
      <w:numFmt w:val="bullet"/>
      <w:lvlText w:val="•"/>
      <w:lvlJc w:val="left"/>
      <w:pPr>
        <w:ind w:left="6557" w:hanging="423"/>
      </w:pPr>
      <w:rPr>
        <w:rFonts w:hint="default"/>
        <w:lang w:val="en-US" w:eastAsia="en-US" w:bidi="ar-SA"/>
      </w:rPr>
    </w:lvl>
    <w:lvl w:ilvl="7">
      <w:numFmt w:val="bullet"/>
      <w:lvlText w:val="•"/>
      <w:lvlJc w:val="left"/>
      <w:pPr>
        <w:ind w:left="7693" w:hanging="423"/>
      </w:pPr>
      <w:rPr>
        <w:rFonts w:hint="default"/>
        <w:lang w:val="en-US" w:eastAsia="en-US" w:bidi="ar-SA"/>
      </w:rPr>
    </w:lvl>
    <w:lvl w:ilvl="8">
      <w:numFmt w:val="bullet"/>
      <w:lvlText w:val="•"/>
      <w:lvlJc w:val="left"/>
      <w:pPr>
        <w:ind w:left="8828" w:hanging="423"/>
      </w:pPr>
      <w:rPr>
        <w:rFonts w:hint="default"/>
        <w:lang w:val="en-US" w:eastAsia="en-US" w:bidi="ar-SA"/>
      </w:rPr>
    </w:lvl>
  </w:abstractNum>
  <w:abstractNum w:abstractNumId="18" w15:restartNumberingAfterBreak="0">
    <w:nsid w:val="465A383E"/>
    <w:multiLevelType w:val="multilevel"/>
    <w:tmpl w:val="DA5690C6"/>
    <w:lvl w:ilvl="0">
      <w:start w:val="3"/>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3C66C4"/>
    <w:multiLevelType w:val="multilevel"/>
    <w:tmpl w:val="E8464C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894BDC"/>
    <w:multiLevelType w:val="multilevel"/>
    <w:tmpl w:val="F00A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363784"/>
    <w:multiLevelType w:val="multilevel"/>
    <w:tmpl w:val="FC3AFFE0"/>
    <w:lvl w:ilvl="0">
      <w:start w:val="5"/>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0F3F3E"/>
    <w:multiLevelType w:val="multilevel"/>
    <w:tmpl w:val="EE98B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484EF8"/>
    <w:multiLevelType w:val="multilevel"/>
    <w:tmpl w:val="AB52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A02850"/>
    <w:multiLevelType w:val="hybridMultilevel"/>
    <w:tmpl w:val="7616C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EC448B6"/>
    <w:multiLevelType w:val="multilevel"/>
    <w:tmpl w:val="46906C8A"/>
    <w:lvl w:ilvl="0">
      <w:start w:val="3"/>
      <w:numFmt w:val="decimal"/>
      <w:lvlText w:val="%1"/>
      <w:lvlJc w:val="left"/>
      <w:pPr>
        <w:ind w:left="576" w:hanging="576"/>
      </w:pPr>
      <w:rPr>
        <w:rFonts w:hint="default"/>
      </w:rPr>
    </w:lvl>
    <w:lvl w:ilvl="1">
      <w:start w:val="3"/>
      <w:numFmt w:val="decimal"/>
      <w:lvlText w:val="%1.%2"/>
      <w:lvlJc w:val="left"/>
      <w:pPr>
        <w:ind w:left="666" w:hanging="576"/>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6" w15:restartNumberingAfterBreak="0">
    <w:nsid w:val="609C180A"/>
    <w:multiLevelType w:val="multilevel"/>
    <w:tmpl w:val="B6B6F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1B02FC"/>
    <w:multiLevelType w:val="hybridMultilevel"/>
    <w:tmpl w:val="8C80B3A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80839EC"/>
    <w:multiLevelType w:val="multilevel"/>
    <w:tmpl w:val="98848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61250E"/>
    <w:multiLevelType w:val="hybridMultilevel"/>
    <w:tmpl w:val="76E0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3A10C7"/>
    <w:multiLevelType w:val="multilevel"/>
    <w:tmpl w:val="895AD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4A3FE1"/>
    <w:multiLevelType w:val="hybridMultilevel"/>
    <w:tmpl w:val="97F640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15:restartNumberingAfterBreak="0">
    <w:nsid w:val="6BF57001"/>
    <w:multiLevelType w:val="hybridMultilevel"/>
    <w:tmpl w:val="E52C8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F92915"/>
    <w:multiLevelType w:val="hybridMultilevel"/>
    <w:tmpl w:val="6CF8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EF139A"/>
    <w:multiLevelType w:val="multilevel"/>
    <w:tmpl w:val="B7B63416"/>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0D02BA9"/>
    <w:multiLevelType w:val="hybridMultilevel"/>
    <w:tmpl w:val="3D100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BB3C30"/>
    <w:multiLevelType w:val="hybridMultilevel"/>
    <w:tmpl w:val="630AE5DA"/>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F1406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D1012CE"/>
    <w:multiLevelType w:val="hybridMultilevel"/>
    <w:tmpl w:val="2430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7969132">
    <w:abstractNumId w:val="22"/>
  </w:num>
  <w:num w:numId="2" w16cid:durableId="1327630389">
    <w:abstractNumId w:val="35"/>
  </w:num>
  <w:num w:numId="3" w16cid:durableId="1294557798">
    <w:abstractNumId w:val="17"/>
  </w:num>
  <w:num w:numId="4" w16cid:durableId="571624975">
    <w:abstractNumId w:val="20"/>
  </w:num>
  <w:num w:numId="5" w16cid:durableId="1899510787">
    <w:abstractNumId w:val="23"/>
  </w:num>
  <w:num w:numId="6" w16cid:durableId="135030636">
    <w:abstractNumId w:val="26"/>
  </w:num>
  <w:num w:numId="7" w16cid:durableId="1019090508">
    <w:abstractNumId w:val="10"/>
  </w:num>
  <w:num w:numId="8" w16cid:durableId="366108794">
    <w:abstractNumId w:val="8"/>
  </w:num>
  <w:num w:numId="9" w16cid:durableId="1299454381">
    <w:abstractNumId w:val="4"/>
  </w:num>
  <w:num w:numId="10" w16cid:durableId="1743134746">
    <w:abstractNumId w:val="18"/>
  </w:num>
  <w:num w:numId="11" w16cid:durableId="1331904600">
    <w:abstractNumId w:val="16"/>
  </w:num>
  <w:num w:numId="12" w16cid:durableId="1687755522">
    <w:abstractNumId w:val="21"/>
  </w:num>
  <w:num w:numId="13" w16cid:durableId="138692138">
    <w:abstractNumId w:val="38"/>
  </w:num>
  <w:num w:numId="14" w16cid:durableId="1713071350">
    <w:abstractNumId w:val="13"/>
  </w:num>
  <w:num w:numId="15" w16cid:durableId="624309492">
    <w:abstractNumId w:val="34"/>
  </w:num>
  <w:num w:numId="16" w16cid:durableId="207035804">
    <w:abstractNumId w:val="3"/>
  </w:num>
  <w:num w:numId="17" w16cid:durableId="1205604226">
    <w:abstractNumId w:val="11"/>
  </w:num>
  <w:num w:numId="18" w16cid:durableId="786966733">
    <w:abstractNumId w:val="2"/>
  </w:num>
  <w:num w:numId="19" w16cid:durableId="606082260">
    <w:abstractNumId w:val="30"/>
  </w:num>
  <w:num w:numId="20" w16cid:durableId="788207288">
    <w:abstractNumId w:val="32"/>
  </w:num>
  <w:num w:numId="21" w16cid:durableId="1294025491">
    <w:abstractNumId w:val="33"/>
  </w:num>
  <w:num w:numId="22" w16cid:durableId="1612397277">
    <w:abstractNumId w:val="31"/>
  </w:num>
  <w:num w:numId="23" w16cid:durableId="327294188">
    <w:abstractNumId w:val="14"/>
  </w:num>
  <w:num w:numId="24" w16cid:durableId="1534228075">
    <w:abstractNumId w:val="27"/>
  </w:num>
  <w:num w:numId="25" w16cid:durableId="654187162">
    <w:abstractNumId w:val="25"/>
  </w:num>
  <w:num w:numId="26" w16cid:durableId="1856772422">
    <w:abstractNumId w:val="7"/>
  </w:num>
  <w:num w:numId="27" w16cid:durableId="1513911700">
    <w:abstractNumId w:val="12"/>
  </w:num>
  <w:num w:numId="28" w16cid:durableId="1259214802">
    <w:abstractNumId w:val="29"/>
  </w:num>
  <w:num w:numId="29" w16cid:durableId="1064916068">
    <w:abstractNumId w:val="5"/>
  </w:num>
  <w:num w:numId="30" w16cid:durableId="757091886">
    <w:abstractNumId w:val="19"/>
  </w:num>
  <w:num w:numId="31" w16cid:durableId="54819013">
    <w:abstractNumId w:val="9"/>
  </w:num>
  <w:num w:numId="32" w16cid:durableId="1243567375">
    <w:abstractNumId w:val="1"/>
  </w:num>
  <w:num w:numId="33" w16cid:durableId="1086875601">
    <w:abstractNumId w:val="37"/>
  </w:num>
  <w:num w:numId="34" w16cid:durableId="1455566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3576858">
    <w:abstractNumId w:val="24"/>
  </w:num>
  <w:num w:numId="36" w16cid:durableId="52387342">
    <w:abstractNumId w:val="24"/>
  </w:num>
  <w:num w:numId="37" w16cid:durableId="1956137035">
    <w:abstractNumId w:val="28"/>
  </w:num>
  <w:num w:numId="38" w16cid:durableId="88896756">
    <w:abstractNumId w:val="6"/>
  </w:num>
  <w:num w:numId="39" w16cid:durableId="1348362616">
    <w:abstractNumId w:val="36"/>
  </w:num>
  <w:num w:numId="40" w16cid:durableId="1551384121">
    <w:abstractNumId w:val="15"/>
  </w:num>
  <w:num w:numId="41" w16cid:durableId="634026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wNjExMLU0NTcyMjJV0lEKTi0uzszPAykwMqoFAKJLd1MtAAAA"/>
  </w:docVars>
  <w:rsids>
    <w:rsidRoot w:val="00F15C29"/>
    <w:rsid w:val="000002D8"/>
    <w:rsid w:val="000101FA"/>
    <w:rsid w:val="00010A9A"/>
    <w:rsid w:val="00015737"/>
    <w:rsid w:val="00015D59"/>
    <w:rsid w:val="00040430"/>
    <w:rsid w:val="0007166F"/>
    <w:rsid w:val="0007689F"/>
    <w:rsid w:val="0008704B"/>
    <w:rsid w:val="000935F7"/>
    <w:rsid w:val="000B4123"/>
    <w:rsid w:val="000C74F1"/>
    <w:rsid w:val="000C7F0B"/>
    <w:rsid w:val="000D15CF"/>
    <w:rsid w:val="000E08B0"/>
    <w:rsid w:val="000E5CAD"/>
    <w:rsid w:val="000E7901"/>
    <w:rsid w:val="000F580E"/>
    <w:rsid w:val="00100B58"/>
    <w:rsid w:val="00105F69"/>
    <w:rsid w:val="00111525"/>
    <w:rsid w:val="00120402"/>
    <w:rsid w:val="00127872"/>
    <w:rsid w:val="00135221"/>
    <w:rsid w:val="001353E6"/>
    <w:rsid w:val="00140AC8"/>
    <w:rsid w:val="00154DE6"/>
    <w:rsid w:val="001572A1"/>
    <w:rsid w:val="0016295D"/>
    <w:rsid w:val="0016461F"/>
    <w:rsid w:val="00171A46"/>
    <w:rsid w:val="00171A8F"/>
    <w:rsid w:val="0017535B"/>
    <w:rsid w:val="001756B6"/>
    <w:rsid w:val="001813B1"/>
    <w:rsid w:val="00186E63"/>
    <w:rsid w:val="00186EF5"/>
    <w:rsid w:val="00194C1C"/>
    <w:rsid w:val="001A4E3F"/>
    <w:rsid w:val="001B7754"/>
    <w:rsid w:val="001C0B61"/>
    <w:rsid w:val="001D26CC"/>
    <w:rsid w:val="001E219E"/>
    <w:rsid w:val="001E3231"/>
    <w:rsid w:val="001E6653"/>
    <w:rsid w:val="001F25EC"/>
    <w:rsid w:val="00206112"/>
    <w:rsid w:val="002064DE"/>
    <w:rsid w:val="00207812"/>
    <w:rsid w:val="002333B0"/>
    <w:rsid w:val="00237CB5"/>
    <w:rsid w:val="002515CE"/>
    <w:rsid w:val="00251F1A"/>
    <w:rsid w:val="0025318C"/>
    <w:rsid w:val="00257B77"/>
    <w:rsid w:val="002707B3"/>
    <w:rsid w:val="0028441D"/>
    <w:rsid w:val="00292910"/>
    <w:rsid w:val="00292BB9"/>
    <w:rsid w:val="002A0A6E"/>
    <w:rsid w:val="002A2571"/>
    <w:rsid w:val="002A2AF2"/>
    <w:rsid w:val="002A6297"/>
    <w:rsid w:val="002B05B3"/>
    <w:rsid w:val="002C16B2"/>
    <w:rsid w:val="002C2D99"/>
    <w:rsid w:val="002C5BD5"/>
    <w:rsid w:val="002D0561"/>
    <w:rsid w:val="002D1789"/>
    <w:rsid w:val="002D178C"/>
    <w:rsid w:val="002E35DE"/>
    <w:rsid w:val="002E3D57"/>
    <w:rsid w:val="002E5ACD"/>
    <w:rsid w:val="002F1C25"/>
    <w:rsid w:val="002F2377"/>
    <w:rsid w:val="002F4ED6"/>
    <w:rsid w:val="002F7BE7"/>
    <w:rsid w:val="0030389E"/>
    <w:rsid w:val="0031151F"/>
    <w:rsid w:val="00315673"/>
    <w:rsid w:val="00315866"/>
    <w:rsid w:val="0031721F"/>
    <w:rsid w:val="00320AB1"/>
    <w:rsid w:val="00321F5E"/>
    <w:rsid w:val="00327CFE"/>
    <w:rsid w:val="003350C3"/>
    <w:rsid w:val="003357A5"/>
    <w:rsid w:val="00346872"/>
    <w:rsid w:val="00352CAB"/>
    <w:rsid w:val="00362997"/>
    <w:rsid w:val="00375823"/>
    <w:rsid w:val="003825E2"/>
    <w:rsid w:val="00385F4E"/>
    <w:rsid w:val="003865F3"/>
    <w:rsid w:val="003967D0"/>
    <w:rsid w:val="003A380D"/>
    <w:rsid w:val="003B6A12"/>
    <w:rsid w:val="003D0CE5"/>
    <w:rsid w:val="003D2EE9"/>
    <w:rsid w:val="003E27F8"/>
    <w:rsid w:val="003E3733"/>
    <w:rsid w:val="003E6A05"/>
    <w:rsid w:val="003F0BBB"/>
    <w:rsid w:val="003F442F"/>
    <w:rsid w:val="0041173D"/>
    <w:rsid w:val="00413231"/>
    <w:rsid w:val="00416771"/>
    <w:rsid w:val="004225D4"/>
    <w:rsid w:val="00423C99"/>
    <w:rsid w:val="004255DB"/>
    <w:rsid w:val="00426A93"/>
    <w:rsid w:val="0043438F"/>
    <w:rsid w:val="004348EB"/>
    <w:rsid w:val="0043497B"/>
    <w:rsid w:val="00440345"/>
    <w:rsid w:val="00462703"/>
    <w:rsid w:val="00470529"/>
    <w:rsid w:val="00481E0F"/>
    <w:rsid w:val="00482216"/>
    <w:rsid w:val="00484397"/>
    <w:rsid w:val="00493C00"/>
    <w:rsid w:val="0049682A"/>
    <w:rsid w:val="004A73EF"/>
    <w:rsid w:val="004B1C38"/>
    <w:rsid w:val="004B65F7"/>
    <w:rsid w:val="004C1D0C"/>
    <w:rsid w:val="004C2891"/>
    <w:rsid w:val="004D064F"/>
    <w:rsid w:val="004D1C3E"/>
    <w:rsid w:val="004D7E55"/>
    <w:rsid w:val="004E25B0"/>
    <w:rsid w:val="004E43CA"/>
    <w:rsid w:val="004F0D47"/>
    <w:rsid w:val="005025E4"/>
    <w:rsid w:val="00514E0A"/>
    <w:rsid w:val="005164B6"/>
    <w:rsid w:val="0051682F"/>
    <w:rsid w:val="00523225"/>
    <w:rsid w:val="00526AE4"/>
    <w:rsid w:val="0053322D"/>
    <w:rsid w:val="005344D9"/>
    <w:rsid w:val="00537988"/>
    <w:rsid w:val="00543E72"/>
    <w:rsid w:val="00545BFB"/>
    <w:rsid w:val="00550B4F"/>
    <w:rsid w:val="005559F5"/>
    <w:rsid w:val="00564031"/>
    <w:rsid w:val="00564AC4"/>
    <w:rsid w:val="00565A28"/>
    <w:rsid w:val="00572B22"/>
    <w:rsid w:val="00574566"/>
    <w:rsid w:val="00583C7B"/>
    <w:rsid w:val="00584196"/>
    <w:rsid w:val="005951BE"/>
    <w:rsid w:val="005A4540"/>
    <w:rsid w:val="005A5540"/>
    <w:rsid w:val="005B5944"/>
    <w:rsid w:val="005C1363"/>
    <w:rsid w:val="005C1FD8"/>
    <w:rsid w:val="005C6DF2"/>
    <w:rsid w:val="005C7B8C"/>
    <w:rsid w:val="005D1626"/>
    <w:rsid w:val="005D51FB"/>
    <w:rsid w:val="005E2B1A"/>
    <w:rsid w:val="005E2E07"/>
    <w:rsid w:val="005F0DBC"/>
    <w:rsid w:val="005F1963"/>
    <w:rsid w:val="005F2E6D"/>
    <w:rsid w:val="006046FF"/>
    <w:rsid w:val="00614BE7"/>
    <w:rsid w:val="006201FB"/>
    <w:rsid w:val="00623D2F"/>
    <w:rsid w:val="006240EF"/>
    <w:rsid w:val="00644397"/>
    <w:rsid w:val="0065338F"/>
    <w:rsid w:val="0066235B"/>
    <w:rsid w:val="00666B8B"/>
    <w:rsid w:val="00670BCD"/>
    <w:rsid w:val="00675E55"/>
    <w:rsid w:val="006870E8"/>
    <w:rsid w:val="0069656B"/>
    <w:rsid w:val="006A3DCA"/>
    <w:rsid w:val="006B081F"/>
    <w:rsid w:val="006B784E"/>
    <w:rsid w:val="006C19E6"/>
    <w:rsid w:val="006C65A0"/>
    <w:rsid w:val="006D02EF"/>
    <w:rsid w:val="006D38C2"/>
    <w:rsid w:val="006E06B7"/>
    <w:rsid w:val="006E1132"/>
    <w:rsid w:val="006E29AC"/>
    <w:rsid w:val="006F195C"/>
    <w:rsid w:val="006F2111"/>
    <w:rsid w:val="006F288B"/>
    <w:rsid w:val="00702A48"/>
    <w:rsid w:val="00710D0D"/>
    <w:rsid w:val="007222F9"/>
    <w:rsid w:val="007315AE"/>
    <w:rsid w:val="0074379B"/>
    <w:rsid w:val="00751632"/>
    <w:rsid w:val="00761B9D"/>
    <w:rsid w:val="00764152"/>
    <w:rsid w:val="0076519D"/>
    <w:rsid w:val="00775464"/>
    <w:rsid w:val="00781D2A"/>
    <w:rsid w:val="00784809"/>
    <w:rsid w:val="00793457"/>
    <w:rsid w:val="00793EC3"/>
    <w:rsid w:val="00796ECC"/>
    <w:rsid w:val="007A2FF1"/>
    <w:rsid w:val="007C13A1"/>
    <w:rsid w:val="007C7EB4"/>
    <w:rsid w:val="007D1669"/>
    <w:rsid w:val="007D6999"/>
    <w:rsid w:val="007E3FA7"/>
    <w:rsid w:val="007E7A99"/>
    <w:rsid w:val="00800D36"/>
    <w:rsid w:val="00800ED3"/>
    <w:rsid w:val="008220C0"/>
    <w:rsid w:val="00830E27"/>
    <w:rsid w:val="00834605"/>
    <w:rsid w:val="00870D1A"/>
    <w:rsid w:val="008909C9"/>
    <w:rsid w:val="00891ABB"/>
    <w:rsid w:val="008A629E"/>
    <w:rsid w:val="008B36FA"/>
    <w:rsid w:val="008C2872"/>
    <w:rsid w:val="008C4E8E"/>
    <w:rsid w:val="008D2A22"/>
    <w:rsid w:val="00901A9B"/>
    <w:rsid w:val="00906FC9"/>
    <w:rsid w:val="00931984"/>
    <w:rsid w:val="00932025"/>
    <w:rsid w:val="009345D7"/>
    <w:rsid w:val="00936BEA"/>
    <w:rsid w:val="0094191D"/>
    <w:rsid w:val="00942064"/>
    <w:rsid w:val="00942259"/>
    <w:rsid w:val="009464EE"/>
    <w:rsid w:val="0095017E"/>
    <w:rsid w:val="0095128F"/>
    <w:rsid w:val="009519CC"/>
    <w:rsid w:val="00954A9D"/>
    <w:rsid w:val="00956B0E"/>
    <w:rsid w:val="00961A4B"/>
    <w:rsid w:val="00961FC6"/>
    <w:rsid w:val="009645AB"/>
    <w:rsid w:val="009721E3"/>
    <w:rsid w:val="00981789"/>
    <w:rsid w:val="00990D1E"/>
    <w:rsid w:val="009911B6"/>
    <w:rsid w:val="009A2F6C"/>
    <w:rsid w:val="009A3BDB"/>
    <w:rsid w:val="009A508E"/>
    <w:rsid w:val="009B465A"/>
    <w:rsid w:val="009B5E8C"/>
    <w:rsid w:val="009C28C0"/>
    <w:rsid w:val="009C305E"/>
    <w:rsid w:val="009D5157"/>
    <w:rsid w:val="009E3A98"/>
    <w:rsid w:val="009E4026"/>
    <w:rsid w:val="009F332E"/>
    <w:rsid w:val="00A07FAC"/>
    <w:rsid w:val="00A11C8C"/>
    <w:rsid w:val="00A24FDA"/>
    <w:rsid w:val="00A368A4"/>
    <w:rsid w:val="00A410E8"/>
    <w:rsid w:val="00A4667E"/>
    <w:rsid w:val="00A53BAE"/>
    <w:rsid w:val="00A60CD2"/>
    <w:rsid w:val="00A71C9C"/>
    <w:rsid w:val="00A77D66"/>
    <w:rsid w:val="00A82FA1"/>
    <w:rsid w:val="00A926A5"/>
    <w:rsid w:val="00AA0069"/>
    <w:rsid w:val="00AA2C8E"/>
    <w:rsid w:val="00AC033E"/>
    <w:rsid w:val="00AC2369"/>
    <w:rsid w:val="00AC4527"/>
    <w:rsid w:val="00AC79F5"/>
    <w:rsid w:val="00AF347F"/>
    <w:rsid w:val="00B16967"/>
    <w:rsid w:val="00B21FC6"/>
    <w:rsid w:val="00B36CA6"/>
    <w:rsid w:val="00B44610"/>
    <w:rsid w:val="00B456E1"/>
    <w:rsid w:val="00B46E72"/>
    <w:rsid w:val="00B8172E"/>
    <w:rsid w:val="00B867D2"/>
    <w:rsid w:val="00B95934"/>
    <w:rsid w:val="00BA73A1"/>
    <w:rsid w:val="00BB2E01"/>
    <w:rsid w:val="00BD0A78"/>
    <w:rsid w:val="00BE488B"/>
    <w:rsid w:val="00BE68C6"/>
    <w:rsid w:val="00BF2A71"/>
    <w:rsid w:val="00BF61F1"/>
    <w:rsid w:val="00BF7A06"/>
    <w:rsid w:val="00C07C2D"/>
    <w:rsid w:val="00C145A5"/>
    <w:rsid w:val="00C24E6B"/>
    <w:rsid w:val="00C258CB"/>
    <w:rsid w:val="00C34456"/>
    <w:rsid w:val="00C36831"/>
    <w:rsid w:val="00C400FC"/>
    <w:rsid w:val="00C40382"/>
    <w:rsid w:val="00C41058"/>
    <w:rsid w:val="00C468E3"/>
    <w:rsid w:val="00C50169"/>
    <w:rsid w:val="00C54CB8"/>
    <w:rsid w:val="00C55948"/>
    <w:rsid w:val="00C620B4"/>
    <w:rsid w:val="00C62173"/>
    <w:rsid w:val="00C70FAA"/>
    <w:rsid w:val="00C764B7"/>
    <w:rsid w:val="00C770D5"/>
    <w:rsid w:val="00C87A6C"/>
    <w:rsid w:val="00C970B2"/>
    <w:rsid w:val="00C97E86"/>
    <w:rsid w:val="00CA5B28"/>
    <w:rsid w:val="00CA6F37"/>
    <w:rsid w:val="00CC5840"/>
    <w:rsid w:val="00CC7B09"/>
    <w:rsid w:val="00CD0503"/>
    <w:rsid w:val="00CE4AC2"/>
    <w:rsid w:val="00CE6F42"/>
    <w:rsid w:val="00CF777F"/>
    <w:rsid w:val="00D00196"/>
    <w:rsid w:val="00D00B0C"/>
    <w:rsid w:val="00D00E20"/>
    <w:rsid w:val="00D10945"/>
    <w:rsid w:val="00D36C0F"/>
    <w:rsid w:val="00D3767E"/>
    <w:rsid w:val="00D414C9"/>
    <w:rsid w:val="00D439CE"/>
    <w:rsid w:val="00D54C09"/>
    <w:rsid w:val="00D56E7E"/>
    <w:rsid w:val="00D62FF5"/>
    <w:rsid w:val="00D77FAC"/>
    <w:rsid w:val="00D80D0E"/>
    <w:rsid w:val="00D915A7"/>
    <w:rsid w:val="00D9634C"/>
    <w:rsid w:val="00DB01A5"/>
    <w:rsid w:val="00DC70DD"/>
    <w:rsid w:val="00DF2A64"/>
    <w:rsid w:val="00DF445A"/>
    <w:rsid w:val="00E01576"/>
    <w:rsid w:val="00E0209D"/>
    <w:rsid w:val="00E1442B"/>
    <w:rsid w:val="00E228AD"/>
    <w:rsid w:val="00E27E36"/>
    <w:rsid w:val="00E334F5"/>
    <w:rsid w:val="00E41A27"/>
    <w:rsid w:val="00E461BD"/>
    <w:rsid w:val="00E46BB7"/>
    <w:rsid w:val="00E509B3"/>
    <w:rsid w:val="00E57FEA"/>
    <w:rsid w:val="00E63940"/>
    <w:rsid w:val="00E6423F"/>
    <w:rsid w:val="00E66E72"/>
    <w:rsid w:val="00E72ABD"/>
    <w:rsid w:val="00E9018C"/>
    <w:rsid w:val="00E92E95"/>
    <w:rsid w:val="00E93217"/>
    <w:rsid w:val="00EB2E53"/>
    <w:rsid w:val="00EB4277"/>
    <w:rsid w:val="00EC1FA8"/>
    <w:rsid w:val="00EC51BB"/>
    <w:rsid w:val="00EC683F"/>
    <w:rsid w:val="00ED32ED"/>
    <w:rsid w:val="00ED3FA6"/>
    <w:rsid w:val="00ED6A54"/>
    <w:rsid w:val="00EE5270"/>
    <w:rsid w:val="00EE5DAB"/>
    <w:rsid w:val="00F05A52"/>
    <w:rsid w:val="00F15C29"/>
    <w:rsid w:val="00F226E6"/>
    <w:rsid w:val="00F25D5C"/>
    <w:rsid w:val="00F31FC1"/>
    <w:rsid w:val="00F37896"/>
    <w:rsid w:val="00F40138"/>
    <w:rsid w:val="00F434B1"/>
    <w:rsid w:val="00F463C1"/>
    <w:rsid w:val="00F54135"/>
    <w:rsid w:val="00F6166C"/>
    <w:rsid w:val="00F6278A"/>
    <w:rsid w:val="00F65A8D"/>
    <w:rsid w:val="00F767C4"/>
    <w:rsid w:val="00F77FE4"/>
    <w:rsid w:val="00F83E1A"/>
    <w:rsid w:val="00F9033E"/>
    <w:rsid w:val="00FB39E9"/>
    <w:rsid w:val="00FB55CA"/>
    <w:rsid w:val="00FB63DE"/>
    <w:rsid w:val="00FB7BDF"/>
    <w:rsid w:val="00FC0583"/>
    <w:rsid w:val="00FC1385"/>
    <w:rsid w:val="00FC6BBD"/>
    <w:rsid w:val="00FD24F7"/>
    <w:rsid w:val="00FD6659"/>
    <w:rsid w:val="0CC53633"/>
    <w:rsid w:val="1A1BCDB0"/>
    <w:rsid w:val="2C2461F0"/>
    <w:rsid w:val="30AE27C3"/>
    <w:rsid w:val="6F90D69E"/>
    <w:rsid w:val="72D2D39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A4D8D"/>
  <w15:docId w15:val="{C4CBE30C-31ED-4251-9A08-922D3715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C29"/>
  </w:style>
  <w:style w:type="paragraph" w:styleId="Heading1">
    <w:name w:val="heading 1"/>
    <w:basedOn w:val="Normal"/>
    <w:link w:val="Heading1Char"/>
    <w:uiPriority w:val="9"/>
    <w:qFormat/>
    <w:rsid w:val="00EE5DAB"/>
    <w:pPr>
      <w:widowControl w:val="0"/>
      <w:autoSpaceDE w:val="0"/>
      <w:autoSpaceDN w:val="0"/>
      <w:spacing w:before="81" w:after="0" w:line="240" w:lineRule="auto"/>
      <w:ind w:left="740"/>
      <w:outlineLvl w:val="0"/>
    </w:pPr>
    <w:rPr>
      <w:rFonts w:ascii="Times New Roman" w:eastAsia="Times New Roman" w:hAnsi="Times New Roman" w:cs="Times New Roman"/>
      <w:b/>
      <w:bCs/>
      <w:sz w:val="44"/>
      <w:szCs w:val="44"/>
    </w:rPr>
  </w:style>
  <w:style w:type="paragraph" w:styleId="Heading2">
    <w:name w:val="heading 2"/>
    <w:aliases w:val="Title 02"/>
    <w:basedOn w:val="Normal"/>
    <w:link w:val="Heading2Char"/>
    <w:uiPriority w:val="9"/>
    <w:qFormat/>
    <w:rsid w:val="00EE5DAB"/>
    <w:pPr>
      <w:widowControl w:val="0"/>
      <w:autoSpaceDE w:val="0"/>
      <w:autoSpaceDN w:val="0"/>
      <w:spacing w:before="59" w:after="0" w:line="240" w:lineRule="auto"/>
      <w:ind w:left="740"/>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F15C29"/>
    <w:pPr>
      <w:keepNext/>
      <w:spacing w:before="240" w:after="60" w:line="240" w:lineRule="auto"/>
      <w:outlineLvl w:val="2"/>
    </w:pPr>
    <w:rPr>
      <w:rFonts w:ascii="Calibri Light" w:eastAsia="DengXian Light" w:hAnsi="Calibri Light" w:cs="Times New Roman"/>
      <w:b/>
      <w:bCs/>
      <w:sz w:val="26"/>
      <w:szCs w:val="26"/>
      <w:lang w:eastAsia="zh-CN"/>
    </w:rPr>
  </w:style>
  <w:style w:type="paragraph" w:styleId="Heading4">
    <w:name w:val="heading 4"/>
    <w:basedOn w:val="Normal"/>
    <w:next w:val="Normal"/>
    <w:link w:val="Heading4Char"/>
    <w:uiPriority w:val="9"/>
    <w:unhideWhenUsed/>
    <w:qFormat/>
    <w:rsid w:val="00EE5DAB"/>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E5DA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E5DAB"/>
    <w:pPr>
      <w:keepNext/>
      <w:keepLines/>
      <w:widowControl w:val="0"/>
      <w:autoSpaceDE w:val="0"/>
      <w:autoSpaceDN w:val="0"/>
      <w:spacing w:before="40" w:after="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645AB"/>
    <w:pPr>
      <w:keepNext/>
      <w:keepLines/>
      <w:spacing w:before="40" w:after="0" w:line="256" w:lineRule="auto"/>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645AB"/>
    <w:pPr>
      <w:keepNext/>
      <w:keepLines/>
      <w:spacing w:before="40" w:after="0" w:line="25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645AB"/>
    <w:pPr>
      <w:keepNext/>
      <w:keepLines/>
      <w:spacing w:before="40" w:after="0" w:line="25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15C29"/>
    <w:rPr>
      <w:rFonts w:ascii="Calibri Light" w:eastAsia="DengXian Light" w:hAnsi="Calibri Light" w:cs="Times New Roman"/>
      <w:b/>
      <w:bCs/>
      <w:sz w:val="26"/>
      <w:szCs w:val="26"/>
      <w:lang w:eastAsia="zh-CN"/>
    </w:rPr>
  </w:style>
  <w:style w:type="paragraph" w:styleId="BodyText">
    <w:name w:val="Body Text"/>
    <w:basedOn w:val="Normal"/>
    <w:link w:val="BodyTextChar"/>
    <w:uiPriority w:val="1"/>
    <w:unhideWhenUsed/>
    <w:qFormat/>
    <w:rsid w:val="00F15C29"/>
    <w:pPr>
      <w:widowControl w:val="0"/>
      <w:autoSpaceDE w:val="0"/>
      <w:autoSpaceDN w:val="0"/>
      <w:spacing w:after="0" w:line="240" w:lineRule="auto"/>
      <w:ind w:left="28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15C29"/>
    <w:rPr>
      <w:rFonts w:ascii="Times New Roman" w:eastAsia="Times New Roman" w:hAnsi="Times New Roman" w:cs="Times New Roman"/>
      <w:sz w:val="24"/>
      <w:szCs w:val="24"/>
    </w:rPr>
  </w:style>
  <w:style w:type="table" w:styleId="TableGrid">
    <w:name w:val="Table Grid"/>
    <w:basedOn w:val="TableNormal"/>
    <w:uiPriority w:val="39"/>
    <w:qFormat/>
    <w:rsid w:val="00F15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F15C29"/>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gures">
    <w:name w:val="Figures"/>
    <w:basedOn w:val="Caption"/>
    <w:next w:val="Caption"/>
    <w:qFormat/>
    <w:rsid w:val="00F15C29"/>
    <w:pPr>
      <w:spacing w:before="100" w:beforeAutospacing="1" w:after="100" w:afterAutospacing="1"/>
      <w:jc w:val="center"/>
    </w:pPr>
    <w:rPr>
      <w:rFonts w:ascii="Times New Roman" w:eastAsia="Times New Roman" w:hAnsi="Times New Roman" w:cs="Times New Roman"/>
      <w:b w:val="0"/>
      <w:iCs/>
      <w:color w:val="000000" w:themeColor="text1"/>
      <w:sz w:val="21"/>
      <w:szCs w:val="21"/>
      <w:lang w:eastAsia="zh-CN"/>
    </w:rPr>
  </w:style>
  <w:style w:type="paragraph" w:customStyle="1" w:styleId="Tables">
    <w:name w:val="Tables"/>
    <w:basedOn w:val="Caption"/>
    <w:next w:val="Caption"/>
    <w:qFormat/>
    <w:rsid w:val="00F15C29"/>
    <w:pPr>
      <w:spacing w:before="100" w:beforeAutospacing="1" w:after="100" w:afterAutospacing="1"/>
      <w:ind w:firstLine="720"/>
      <w:jc w:val="both"/>
    </w:pPr>
    <w:rPr>
      <w:rFonts w:ascii="Times New Roman" w:eastAsia="Times New Roman" w:hAnsi="Times New Roman" w:cs="Times New Roman"/>
      <w:b w:val="0"/>
      <w:bCs w:val="0"/>
      <w:iCs/>
      <w:color w:val="000000" w:themeColor="text1"/>
      <w:sz w:val="21"/>
      <w:lang w:eastAsia="zh-CN"/>
    </w:rPr>
  </w:style>
  <w:style w:type="paragraph" w:styleId="Caption">
    <w:name w:val="caption"/>
    <w:basedOn w:val="Normal"/>
    <w:next w:val="Normal"/>
    <w:uiPriority w:val="35"/>
    <w:unhideWhenUsed/>
    <w:qFormat/>
    <w:rsid w:val="00F15C29"/>
    <w:pPr>
      <w:spacing w:after="200" w:line="240" w:lineRule="auto"/>
    </w:pPr>
    <w:rPr>
      <w:b/>
      <w:bCs/>
      <w:color w:val="5B9BD5" w:themeColor="accent1"/>
      <w:sz w:val="18"/>
      <w:szCs w:val="18"/>
    </w:rPr>
  </w:style>
  <w:style w:type="paragraph" w:styleId="BalloonText">
    <w:name w:val="Balloon Text"/>
    <w:basedOn w:val="Normal"/>
    <w:link w:val="BalloonTextChar"/>
    <w:uiPriority w:val="99"/>
    <w:semiHidden/>
    <w:unhideWhenUsed/>
    <w:rsid w:val="00F15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C29"/>
    <w:rPr>
      <w:rFonts w:ascii="Tahoma" w:hAnsi="Tahoma" w:cs="Tahoma"/>
      <w:sz w:val="16"/>
      <w:szCs w:val="16"/>
    </w:rPr>
  </w:style>
  <w:style w:type="character" w:customStyle="1" w:styleId="fontstyle01">
    <w:name w:val="fontstyle01"/>
    <w:basedOn w:val="DefaultParagraphFont"/>
    <w:rsid w:val="00800D36"/>
    <w:rPr>
      <w:rFonts w:ascii="TimesNewRomanPSMT" w:hAnsi="TimesNewRomanPSMT" w:hint="default"/>
      <w:b w:val="0"/>
      <w:bCs w:val="0"/>
      <w:i w:val="0"/>
      <w:iCs w:val="0"/>
      <w:color w:val="000000"/>
      <w:sz w:val="20"/>
      <w:szCs w:val="20"/>
    </w:rPr>
  </w:style>
  <w:style w:type="character" w:styleId="Hyperlink">
    <w:name w:val="Hyperlink"/>
    <w:basedOn w:val="DefaultParagraphFont"/>
    <w:uiPriority w:val="99"/>
    <w:unhideWhenUsed/>
    <w:rsid w:val="00AC4527"/>
    <w:rPr>
      <w:color w:val="0563C1" w:themeColor="hyperlink"/>
      <w:u w:val="single"/>
    </w:rPr>
  </w:style>
  <w:style w:type="paragraph" w:styleId="Header">
    <w:name w:val="header"/>
    <w:basedOn w:val="Normal"/>
    <w:link w:val="HeaderChar"/>
    <w:uiPriority w:val="99"/>
    <w:unhideWhenUsed/>
    <w:rsid w:val="00D00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196"/>
  </w:style>
  <w:style w:type="paragraph" w:styleId="Footer">
    <w:name w:val="footer"/>
    <w:basedOn w:val="Normal"/>
    <w:link w:val="FooterChar"/>
    <w:uiPriority w:val="99"/>
    <w:unhideWhenUsed/>
    <w:rsid w:val="00D00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196"/>
  </w:style>
  <w:style w:type="paragraph" w:styleId="NormalWeb">
    <w:name w:val="Normal (Web)"/>
    <w:basedOn w:val="Normal"/>
    <w:uiPriority w:val="99"/>
    <w:unhideWhenUsed/>
    <w:rsid w:val="003357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tml-x">
    <w:name w:val="html-x"/>
    <w:basedOn w:val="Normal"/>
    <w:rsid w:val="00E334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DefaultParagraphFont"/>
    <w:rsid w:val="00E334F5"/>
  </w:style>
  <w:style w:type="paragraph" w:customStyle="1" w:styleId="html-xx">
    <w:name w:val="html-xx"/>
    <w:basedOn w:val="Normal"/>
    <w:rsid w:val="00E334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334F5"/>
    <w:pPr>
      <w:ind w:left="720"/>
      <w:contextualSpacing/>
    </w:pPr>
  </w:style>
  <w:style w:type="paragraph" w:styleId="Revision">
    <w:name w:val="Revision"/>
    <w:hidden/>
    <w:uiPriority w:val="99"/>
    <w:semiHidden/>
    <w:rsid w:val="00C07C2D"/>
    <w:pPr>
      <w:spacing w:after="0" w:line="240" w:lineRule="auto"/>
    </w:pPr>
  </w:style>
  <w:style w:type="character" w:customStyle="1" w:styleId="UnresolvedMention1">
    <w:name w:val="Unresolved Mention1"/>
    <w:basedOn w:val="DefaultParagraphFont"/>
    <w:uiPriority w:val="99"/>
    <w:semiHidden/>
    <w:unhideWhenUsed/>
    <w:rsid w:val="00EE5DAB"/>
    <w:rPr>
      <w:color w:val="605E5C"/>
      <w:shd w:val="clear" w:color="auto" w:fill="E1DFDD"/>
    </w:rPr>
  </w:style>
  <w:style w:type="character" w:customStyle="1" w:styleId="Heading5Char">
    <w:name w:val="Heading 5 Char"/>
    <w:basedOn w:val="DefaultParagraphFont"/>
    <w:link w:val="Heading5"/>
    <w:uiPriority w:val="9"/>
    <w:rsid w:val="00EE5DAB"/>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EE5DAB"/>
    <w:rPr>
      <w:rFonts w:ascii="Times New Roman" w:eastAsia="Times New Roman" w:hAnsi="Times New Roman" w:cs="Times New Roman"/>
      <w:b/>
      <w:bCs/>
      <w:sz w:val="44"/>
      <w:szCs w:val="44"/>
    </w:rPr>
  </w:style>
  <w:style w:type="character" w:customStyle="1" w:styleId="Heading2Char">
    <w:name w:val="Heading 2 Char"/>
    <w:aliases w:val="Title 02 Char"/>
    <w:basedOn w:val="DefaultParagraphFont"/>
    <w:link w:val="Heading2"/>
    <w:uiPriority w:val="9"/>
    <w:rsid w:val="00EE5DA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EE5DAB"/>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EE5DAB"/>
    <w:rPr>
      <w:rFonts w:asciiTheme="majorHAnsi" w:eastAsiaTheme="majorEastAsia" w:hAnsiTheme="majorHAnsi" w:cstheme="majorBidi"/>
      <w:color w:val="1F4D78" w:themeColor="accent1" w:themeShade="7F"/>
    </w:rPr>
  </w:style>
  <w:style w:type="paragraph" w:customStyle="1" w:styleId="TableParagraph">
    <w:name w:val="Table Paragraph"/>
    <w:basedOn w:val="Normal"/>
    <w:uiPriority w:val="1"/>
    <w:qFormat/>
    <w:rsid w:val="00EE5DAB"/>
    <w:pPr>
      <w:widowControl w:val="0"/>
      <w:autoSpaceDE w:val="0"/>
      <w:autoSpaceDN w:val="0"/>
      <w:spacing w:after="0" w:line="240" w:lineRule="auto"/>
    </w:pPr>
    <w:rPr>
      <w:rFonts w:ascii="Arial MT" w:eastAsia="Arial MT" w:hAnsi="Arial MT" w:cs="Arial MT"/>
    </w:rPr>
  </w:style>
  <w:style w:type="paragraph" w:styleId="z-TopofForm">
    <w:name w:val="HTML Top of Form"/>
    <w:basedOn w:val="Normal"/>
    <w:next w:val="Normal"/>
    <w:link w:val="z-TopofFormChar"/>
    <w:hidden/>
    <w:uiPriority w:val="99"/>
    <w:semiHidden/>
    <w:unhideWhenUsed/>
    <w:rsid w:val="00EE5DA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E5DAB"/>
    <w:rPr>
      <w:rFonts w:ascii="Arial" w:eastAsia="Times New Roman" w:hAnsi="Arial" w:cs="Arial"/>
      <w:vanish/>
      <w:sz w:val="16"/>
      <w:szCs w:val="16"/>
    </w:rPr>
  </w:style>
  <w:style w:type="paragraph" w:styleId="TOC2">
    <w:name w:val="toc 2"/>
    <w:basedOn w:val="Normal"/>
    <w:uiPriority w:val="39"/>
    <w:qFormat/>
    <w:rsid w:val="00EE5DAB"/>
    <w:pPr>
      <w:widowControl w:val="0"/>
      <w:autoSpaceDE w:val="0"/>
      <w:autoSpaceDN w:val="0"/>
      <w:spacing w:before="122" w:after="0" w:line="240" w:lineRule="auto"/>
      <w:ind w:left="1100" w:hanging="360"/>
    </w:pPr>
    <w:rPr>
      <w:rFonts w:ascii="Times New Roman" w:eastAsia="Times New Roman" w:hAnsi="Times New Roman" w:cs="Times New Roman"/>
      <w:sz w:val="24"/>
      <w:szCs w:val="24"/>
    </w:rPr>
  </w:style>
  <w:style w:type="character" w:customStyle="1" w:styleId="nlmarticle-title">
    <w:name w:val="nlm_article-title"/>
    <w:basedOn w:val="DefaultParagraphFont"/>
    <w:rsid w:val="00EE5DAB"/>
  </w:style>
  <w:style w:type="character" w:customStyle="1" w:styleId="nlmfpage">
    <w:name w:val="nlm_fpage"/>
    <w:basedOn w:val="DefaultParagraphFont"/>
    <w:rsid w:val="00EE5DAB"/>
  </w:style>
  <w:style w:type="character" w:customStyle="1" w:styleId="nlmlpage">
    <w:name w:val="nlm_lpage"/>
    <w:basedOn w:val="DefaultParagraphFont"/>
    <w:rsid w:val="00EE5DAB"/>
  </w:style>
  <w:style w:type="character" w:customStyle="1" w:styleId="reflink-block">
    <w:name w:val="reflink-block"/>
    <w:basedOn w:val="DefaultParagraphFont"/>
    <w:rsid w:val="00EE5DAB"/>
  </w:style>
  <w:style w:type="character" w:customStyle="1" w:styleId="xlinks-container">
    <w:name w:val="xlinks-container"/>
    <w:basedOn w:val="DefaultParagraphFont"/>
    <w:rsid w:val="00EE5DAB"/>
  </w:style>
  <w:style w:type="character" w:customStyle="1" w:styleId="googlescholar-container">
    <w:name w:val="googlescholar-container"/>
    <w:basedOn w:val="DefaultParagraphFont"/>
    <w:rsid w:val="00EE5DAB"/>
  </w:style>
  <w:style w:type="character" w:customStyle="1" w:styleId="nlmpub-id">
    <w:name w:val="nlm_pub-id"/>
    <w:basedOn w:val="DefaultParagraphFont"/>
    <w:rsid w:val="00EE5DAB"/>
  </w:style>
  <w:style w:type="paragraph" w:customStyle="1" w:styleId="Style1">
    <w:name w:val="Style1"/>
    <w:basedOn w:val="BodyText"/>
    <w:link w:val="Style1Char"/>
    <w:uiPriority w:val="1"/>
    <w:qFormat/>
    <w:rsid w:val="00EE5DAB"/>
    <w:pPr>
      <w:spacing w:before="182" w:line="501" w:lineRule="auto"/>
      <w:ind w:left="0" w:right="3720" w:hanging="10"/>
    </w:pPr>
    <w:rPr>
      <w:b/>
      <w:bCs/>
      <w:sz w:val="32"/>
      <w:szCs w:val="32"/>
    </w:rPr>
  </w:style>
  <w:style w:type="paragraph" w:styleId="TOCHeading">
    <w:name w:val="TOC Heading"/>
    <w:basedOn w:val="Heading1"/>
    <w:next w:val="Normal"/>
    <w:uiPriority w:val="39"/>
    <w:unhideWhenUsed/>
    <w:qFormat/>
    <w:rsid w:val="00EE5DA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character" w:customStyle="1" w:styleId="Style1Char">
    <w:name w:val="Style1 Char"/>
    <w:basedOn w:val="BodyTextChar"/>
    <w:link w:val="Style1"/>
    <w:uiPriority w:val="1"/>
    <w:rsid w:val="00EE5DAB"/>
    <w:rPr>
      <w:rFonts w:ascii="Times New Roman" w:eastAsia="Times New Roman" w:hAnsi="Times New Roman" w:cs="Times New Roman"/>
      <w:b/>
      <w:bCs/>
      <w:sz w:val="32"/>
      <w:szCs w:val="32"/>
    </w:rPr>
  </w:style>
  <w:style w:type="paragraph" w:styleId="TOC1">
    <w:name w:val="toc 1"/>
    <w:basedOn w:val="Normal"/>
    <w:next w:val="Normal"/>
    <w:autoRedefine/>
    <w:uiPriority w:val="39"/>
    <w:unhideWhenUsed/>
    <w:rsid w:val="00EE5DAB"/>
    <w:pPr>
      <w:widowControl w:val="0"/>
      <w:tabs>
        <w:tab w:val="right" w:leader="dot" w:pos="10480"/>
      </w:tabs>
      <w:autoSpaceDE w:val="0"/>
      <w:autoSpaceDN w:val="0"/>
      <w:spacing w:after="100" w:line="240" w:lineRule="auto"/>
    </w:pPr>
    <w:rPr>
      <w:rFonts w:asciiTheme="majorBidi" w:eastAsia="Arial MT" w:hAnsiTheme="majorBidi" w:cstheme="majorBidi"/>
      <w:b/>
      <w:bCs/>
      <w:noProof/>
    </w:rPr>
  </w:style>
  <w:style w:type="paragraph" w:styleId="TOC3">
    <w:name w:val="toc 3"/>
    <w:basedOn w:val="Normal"/>
    <w:next w:val="Normal"/>
    <w:autoRedefine/>
    <w:uiPriority w:val="39"/>
    <w:unhideWhenUsed/>
    <w:rsid w:val="00EE5DAB"/>
    <w:pPr>
      <w:widowControl w:val="0"/>
      <w:tabs>
        <w:tab w:val="left" w:pos="1100"/>
        <w:tab w:val="right" w:leader="dot" w:pos="10480"/>
      </w:tabs>
      <w:autoSpaceDE w:val="0"/>
      <w:autoSpaceDN w:val="0"/>
      <w:spacing w:after="100" w:line="240" w:lineRule="auto"/>
      <w:ind w:left="440"/>
    </w:pPr>
    <w:rPr>
      <w:rFonts w:asciiTheme="majorBidi" w:eastAsia="Arial MT" w:hAnsiTheme="majorBidi" w:cs="Arial MT"/>
      <w:b/>
      <w:bCs/>
      <w:noProof/>
    </w:rPr>
  </w:style>
  <w:style w:type="character" w:styleId="Emphasis">
    <w:name w:val="Emphasis"/>
    <w:basedOn w:val="DefaultParagraphFont"/>
    <w:uiPriority w:val="20"/>
    <w:qFormat/>
    <w:rsid w:val="00EE5DAB"/>
    <w:rPr>
      <w:i/>
      <w:iCs/>
    </w:rPr>
  </w:style>
  <w:style w:type="character" w:styleId="CommentReference">
    <w:name w:val="annotation reference"/>
    <w:basedOn w:val="DefaultParagraphFont"/>
    <w:uiPriority w:val="99"/>
    <w:semiHidden/>
    <w:unhideWhenUsed/>
    <w:rsid w:val="00EE5DAB"/>
    <w:rPr>
      <w:sz w:val="16"/>
      <w:szCs w:val="16"/>
    </w:rPr>
  </w:style>
  <w:style w:type="paragraph" w:styleId="CommentText">
    <w:name w:val="annotation text"/>
    <w:basedOn w:val="Normal"/>
    <w:link w:val="CommentTextChar"/>
    <w:uiPriority w:val="99"/>
    <w:semiHidden/>
    <w:unhideWhenUsed/>
    <w:rsid w:val="00EE5DAB"/>
    <w:pPr>
      <w:widowControl w:val="0"/>
      <w:autoSpaceDE w:val="0"/>
      <w:autoSpaceDN w:val="0"/>
      <w:spacing w:after="0" w:line="240" w:lineRule="auto"/>
    </w:pPr>
    <w:rPr>
      <w:rFonts w:ascii="Arial MT" w:eastAsia="Arial MT" w:hAnsi="Arial MT" w:cs="Arial MT"/>
      <w:sz w:val="20"/>
      <w:szCs w:val="20"/>
    </w:rPr>
  </w:style>
  <w:style w:type="character" w:customStyle="1" w:styleId="CommentTextChar">
    <w:name w:val="Comment Text Char"/>
    <w:basedOn w:val="DefaultParagraphFont"/>
    <w:link w:val="CommentText"/>
    <w:uiPriority w:val="99"/>
    <w:semiHidden/>
    <w:rsid w:val="00EE5DAB"/>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EE5DAB"/>
    <w:rPr>
      <w:b/>
      <w:bCs/>
    </w:rPr>
  </w:style>
  <w:style w:type="character" w:customStyle="1" w:styleId="CommentSubjectChar">
    <w:name w:val="Comment Subject Char"/>
    <w:basedOn w:val="CommentTextChar"/>
    <w:link w:val="CommentSubject"/>
    <w:uiPriority w:val="99"/>
    <w:semiHidden/>
    <w:rsid w:val="00EE5DAB"/>
    <w:rPr>
      <w:rFonts w:ascii="Arial MT" w:eastAsia="Arial MT" w:hAnsi="Arial MT" w:cs="Arial MT"/>
      <w:b/>
      <w:bCs/>
      <w:sz w:val="20"/>
      <w:szCs w:val="20"/>
    </w:rPr>
  </w:style>
  <w:style w:type="paragraph" w:customStyle="1" w:styleId="MDPI12title">
    <w:name w:val="MDPI_1.2_title"/>
    <w:next w:val="Normal"/>
    <w:qFormat/>
    <w:rsid w:val="001E6653"/>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1E6653"/>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6affiliation">
    <w:name w:val="MDPI_1.6_affiliation"/>
    <w:qFormat/>
    <w:rsid w:val="001E6653"/>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Papertiltle">
    <w:name w:val="Paper tiltle"/>
    <w:basedOn w:val="Normal"/>
    <w:link w:val="PapertiltleChar"/>
    <w:qFormat/>
    <w:rsid w:val="009645AB"/>
    <w:pPr>
      <w:spacing w:after="360" w:line="360" w:lineRule="auto"/>
      <w:jc w:val="center"/>
    </w:pPr>
    <w:rPr>
      <w:rFonts w:ascii="Times New Roman" w:hAnsi="Times New Roman" w:cs="Times New Roman"/>
      <w:b/>
      <w:sz w:val="32"/>
      <w:szCs w:val="36"/>
    </w:rPr>
  </w:style>
  <w:style w:type="character" w:customStyle="1" w:styleId="PapertiltleChar">
    <w:name w:val="Paper tiltle Char"/>
    <w:basedOn w:val="DefaultParagraphFont"/>
    <w:link w:val="Papertiltle"/>
    <w:rsid w:val="009645AB"/>
    <w:rPr>
      <w:rFonts w:ascii="Times New Roman" w:hAnsi="Times New Roman" w:cs="Times New Roman"/>
      <w:b/>
      <w:sz w:val="32"/>
      <w:szCs w:val="36"/>
    </w:rPr>
  </w:style>
  <w:style w:type="paragraph" w:customStyle="1" w:styleId="ABBSTRACTB">
    <w:name w:val="ABBSTRACTB"/>
    <w:basedOn w:val="Normal"/>
    <w:link w:val="ABBSTRACTBChar"/>
    <w:qFormat/>
    <w:rsid w:val="009645AB"/>
    <w:pPr>
      <w:spacing w:line="220" w:lineRule="exact"/>
      <w:jc w:val="both"/>
    </w:pPr>
    <w:rPr>
      <w:rFonts w:ascii="Times New Roman" w:hAnsi="Times New Roman"/>
      <w:sz w:val="15"/>
    </w:rPr>
  </w:style>
  <w:style w:type="character" w:customStyle="1" w:styleId="ABBSTRACTBChar">
    <w:name w:val="ABBSTRACTB Char"/>
    <w:basedOn w:val="DefaultParagraphFont"/>
    <w:link w:val="ABBSTRACTB"/>
    <w:rsid w:val="009645AB"/>
    <w:rPr>
      <w:rFonts w:ascii="Times New Roman" w:hAnsi="Times New Roman"/>
      <w:sz w:val="15"/>
    </w:rPr>
  </w:style>
  <w:style w:type="paragraph" w:customStyle="1" w:styleId="paperbody">
    <w:name w:val="paper body"/>
    <w:basedOn w:val="Normal"/>
    <w:link w:val="paperbodyChar"/>
    <w:qFormat/>
    <w:rsid w:val="009645AB"/>
    <w:pPr>
      <w:spacing w:after="120" w:line="220" w:lineRule="exact"/>
      <w:jc w:val="both"/>
    </w:pPr>
    <w:rPr>
      <w:rFonts w:ascii="Times New Roman" w:hAnsi="Times New Roman"/>
      <w:color w:val="000000" w:themeColor="text1"/>
      <w:sz w:val="16"/>
    </w:rPr>
  </w:style>
  <w:style w:type="character" w:customStyle="1" w:styleId="paperbodyChar">
    <w:name w:val="paper body Char"/>
    <w:basedOn w:val="DefaultParagraphFont"/>
    <w:link w:val="paperbody"/>
    <w:rsid w:val="009645AB"/>
    <w:rPr>
      <w:rFonts w:ascii="Times New Roman" w:hAnsi="Times New Roman"/>
      <w:color w:val="000000" w:themeColor="text1"/>
      <w:sz w:val="16"/>
    </w:rPr>
  </w:style>
  <w:style w:type="paragraph" w:customStyle="1" w:styleId="Table">
    <w:name w:val="Table"/>
    <w:basedOn w:val="paperbody"/>
    <w:link w:val="TableChar"/>
    <w:qFormat/>
    <w:rsid w:val="009645AB"/>
    <w:pPr>
      <w:spacing w:after="0" w:line="240" w:lineRule="atLeast"/>
      <w:jc w:val="center"/>
    </w:pPr>
    <w:rPr>
      <w:b/>
    </w:rPr>
  </w:style>
  <w:style w:type="character" w:customStyle="1" w:styleId="TableChar">
    <w:name w:val="Table Char"/>
    <w:basedOn w:val="paperbodyChar"/>
    <w:link w:val="Table"/>
    <w:rsid w:val="009645AB"/>
    <w:rPr>
      <w:rFonts w:ascii="Times New Roman" w:hAnsi="Times New Roman"/>
      <w:b/>
      <w:color w:val="000000" w:themeColor="text1"/>
      <w:sz w:val="16"/>
    </w:rPr>
  </w:style>
  <w:style w:type="character" w:customStyle="1" w:styleId="Heading7Char">
    <w:name w:val="Heading 7 Char"/>
    <w:basedOn w:val="DefaultParagraphFont"/>
    <w:link w:val="Heading7"/>
    <w:uiPriority w:val="9"/>
    <w:semiHidden/>
    <w:rsid w:val="009645A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645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645AB"/>
    <w:rPr>
      <w:rFonts w:asciiTheme="majorHAnsi" w:eastAsiaTheme="majorEastAsia" w:hAnsiTheme="majorHAnsi" w:cstheme="majorBidi"/>
      <w:i/>
      <w:iCs/>
      <w:color w:val="272727" w:themeColor="text1" w:themeTint="D8"/>
      <w:sz w:val="21"/>
      <w:szCs w:val="21"/>
    </w:rPr>
  </w:style>
  <w:style w:type="paragraph" w:customStyle="1" w:styleId="ABTRACT">
    <w:name w:val="ABTRACT"/>
    <w:basedOn w:val="Normal"/>
    <w:link w:val="ABTRACTChar"/>
    <w:qFormat/>
    <w:rsid w:val="009645AB"/>
    <w:pPr>
      <w:spacing w:after="240" w:line="240" w:lineRule="auto"/>
    </w:pPr>
    <w:rPr>
      <w:b/>
      <w:i/>
      <w:spacing w:val="40"/>
      <w:sz w:val="18"/>
    </w:rPr>
  </w:style>
  <w:style w:type="character" w:customStyle="1" w:styleId="ABTRACTChar">
    <w:name w:val="ABTRACT Char"/>
    <w:basedOn w:val="DefaultParagraphFont"/>
    <w:link w:val="ABTRACT"/>
    <w:rsid w:val="009645AB"/>
    <w:rPr>
      <w:b/>
      <w:i/>
      <w:spacing w:val="40"/>
      <w:sz w:val="18"/>
    </w:rPr>
  </w:style>
  <w:style w:type="character" w:customStyle="1" w:styleId="HeaderChar1">
    <w:name w:val="Header Char1"/>
    <w:basedOn w:val="DefaultParagraphFont"/>
    <w:uiPriority w:val="99"/>
    <w:semiHidden/>
    <w:rsid w:val="009645AB"/>
  </w:style>
  <w:style w:type="paragraph" w:styleId="Bibliography">
    <w:name w:val="Bibliography"/>
    <w:basedOn w:val="Normal"/>
    <w:next w:val="Normal"/>
    <w:uiPriority w:val="37"/>
    <w:unhideWhenUsed/>
    <w:rsid w:val="009645AB"/>
    <w:pPr>
      <w:spacing w:after="0" w:line="480" w:lineRule="auto"/>
      <w:ind w:left="720" w:hanging="720"/>
    </w:pPr>
  </w:style>
  <w:style w:type="character" w:customStyle="1" w:styleId="UnresolvedMention2">
    <w:name w:val="Unresolved Mention2"/>
    <w:basedOn w:val="DefaultParagraphFont"/>
    <w:uiPriority w:val="99"/>
    <w:semiHidden/>
    <w:unhideWhenUsed/>
    <w:rsid w:val="00ED6A54"/>
    <w:rPr>
      <w:color w:val="605E5C"/>
      <w:shd w:val="clear" w:color="auto" w:fill="E1DFDD"/>
    </w:rPr>
  </w:style>
  <w:style w:type="character" w:styleId="FollowedHyperlink">
    <w:name w:val="FollowedHyperlink"/>
    <w:basedOn w:val="DefaultParagraphFont"/>
    <w:uiPriority w:val="99"/>
    <w:semiHidden/>
    <w:unhideWhenUsed/>
    <w:rsid w:val="00ED6A54"/>
    <w:rPr>
      <w:color w:val="954F72" w:themeColor="followedHyperlink"/>
      <w:u w:val="single"/>
    </w:rPr>
  </w:style>
  <w:style w:type="character" w:customStyle="1" w:styleId="Heading2Char1">
    <w:name w:val="Heading 2 Char1"/>
    <w:aliases w:val="Title 02 Char1"/>
    <w:basedOn w:val="DefaultParagraphFont"/>
    <w:uiPriority w:val="9"/>
    <w:semiHidden/>
    <w:rsid w:val="00ED6A54"/>
    <w:rPr>
      <w:rFonts w:asciiTheme="majorHAnsi" w:eastAsiaTheme="majorEastAsia" w:hAnsiTheme="majorHAnsi" w:cstheme="majorBidi"/>
      <w:color w:val="2E74B5" w:themeColor="accent1" w:themeShade="BF"/>
      <w:kern w:val="2"/>
      <w:sz w:val="26"/>
      <w:szCs w:val="26"/>
      <w14:ligatures w14:val="standardContextual"/>
    </w:rPr>
  </w:style>
  <w:style w:type="paragraph" w:customStyle="1" w:styleId="msonormal0">
    <w:name w:val="msonormal"/>
    <w:basedOn w:val="Normal"/>
    <w:rsid w:val="00ED6A54"/>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ED6A54"/>
    <w:pPr>
      <w:spacing w:after="0" w:line="240" w:lineRule="auto"/>
    </w:pPr>
    <w:rPr>
      <w:kern w:val="2"/>
      <w:lang w:val="en-GB"/>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D6A54"/>
    <w:pPr>
      <w:spacing w:after="0" w:line="240" w:lineRule="auto"/>
    </w:pPr>
    <w:rPr>
      <w:kern w:val="2"/>
      <w:lang w:val="en-GB"/>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015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425342">
      <w:bodyDiv w:val="1"/>
      <w:marLeft w:val="0"/>
      <w:marRight w:val="0"/>
      <w:marTop w:val="0"/>
      <w:marBottom w:val="0"/>
      <w:divBdr>
        <w:top w:val="none" w:sz="0" w:space="0" w:color="auto"/>
        <w:left w:val="none" w:sz="0" w:space="0" w:color="auto"/>
        <w:bottom w:val="none" w:sz="0" w:space="0" w:color="auto"/>
        <w:right w:val="none" w:sz="0" w:space="0" w:color="auto"/>
      </w:divBdr>
    </w:div>
    <w:div w:id="768311260">
      <w:bodyDiv w:val="1"/>
      <w:marLeft w:val="0"/>
      <w:marRight w:val="0"/>
      <w:marTop w:val="0"/>
      <w:marBottom w:val="0"/>
      <w:divBdr>
        <w:top w:val="none" w:sz="0" w:space="0" w:color="auto"/>
        <w:left w:val="none" w:sz="0" w:space="0" w:color="auto"/>
        <w:bottom w:val="none" w:sz="0" w:space="0" w:color="auto"/>
        <w:right w:val="none" w:sz="0" w:space="0" w:color="auto"/>
      </w:divBdr>
    </w:div>
    <w:div w:id="915823701">
      <w:bodyDiv w:val="1"/>
      <w:marLeft w:val="0"/>
      <w:marRight w:val="0"/>
      <w:marTop w:val="0"/>
      <w:marBottom w:val="0"/>
      <w:divBdr>
        <w:top w:val="none" w:sz="0" w:space="0" w:color="auto"/>
        <w:left w:val="none" w:sz="0" w:space="0" w:color="auto"/>
        <w:bottom w:val="none" w:sz="0" w:space="0" w:color="auto"/>
        <w:right w:val="none" w:sz="0" w:space="0" w:color="auto"/>
      </w:divBdr>
    </w:div>
    <w:div w:id="1849129291">
      <w:bodyDiv w:val="1"/>
      <w:marLeft w:val="0"/>
      <w:marRight w:val="0"/>
      <w:marTop w:val="0"/>
      <w:marBottom w:val="0"/>
      <w:divBdr>
        <w:top w:val="none" w:sz="0" w:space="0" w:color="auto"/>
        <w:left w:val="none" w:sz="0" w:space="0" w:color="auto"/>
        <w:bottom w:val="none" w:sz="0" w:space="0" w:color="auto"/>
        <w:right w:val="none" w:sz="0" w:space="0" w:color="auto"/>
      </w:divBdr>
    </w:div>
    <w:div w:id="1899197706">
      <w:bodyDiv w:val="1"/>
      <w:marLeft w:val="0"/>
      <w:marRight w:val="0"/>
      <w:marTop w:val="0"/>
      <w:marBottom w:val="0"/>
      <w:divBdr>
        <w:top w:val="none" w:sz="0" w:space="0" w:color="auto"/>
        <w:left w:val="none" w:sz="0" w:space="0" w:color="auto"/>
        <w:bottom w:val="none" w:sz="0" w:space="0" w:color="auto"/>
        <w:right w:val="none" w:sz="0" w:space="0" w:color="auto"/>
      </w:divBdr>
    </w:div>
    <w:div w:id="197729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hnawaz98@gmail.com"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AF0CF0C-43BC-4CBA-8C12-8406F46E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13024</Words>
  <Characters>74239</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dc:creator>
  <cp:lastModifiedBy>Hassan Raza</cp:lastModifiedBy>
  <cp:revision>4</cp:revision>
  <cp:lastPrinted>2023-11-08T18:37:00Z</cp:lastPrinted>
  <dcterms:created xsi:type="dcterms:W3CDTF">2026-04-28T12:07:00Z</dcterms:created>
  <dcterms:modified xsi:type="dcterms:W3CDTF">2026-05-10T12:17:00Z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fbea7ec1-4981-33bd-be53-13675926e2c9</vt:lpwstr>
  </property>
  <property fmtid="{D5CDD505-2E9C-101B-9397-08002B2CF9AE}" pid="24" name="Mendeley Citation Style_1">
    <vt:lpwstr>http://www.zotero.org/styles/ieee</vt:lpwstr>
  </property>
  <property fmtid="{D5CDD505-2E9C-101B-9397-08002B2CF9AE}" pid="25" name="GrammarlyDocumentId">
    <vt:lpwstr>ac628b6a9b6abcc6d85ff448484f3aee0349863ae028f991e0c2f37c3ccb3f1a</vt:lpwstr>
  </property>
</Properties>
</file>