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89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2"/>
        <w:gridCol w:w="5848"/>
      </w:tblGrid>
      <w:tr w:rsidR="00D54C09" w:rsidRPr="00DB1CEA" w14:paraId="4A58B122" w14:textId="77777777" w:rsidTr="004924CB">
        <w:trPr>
          <w:trHeight w:val="513"/>
        </w:trPr>
        <w:tc>
          <w:tcPr>
            <w:tcW w:w="3062" w:type="dxa"/>
            <w:hideMark/>
          </w:tcPr>
          <w:p w14:paraId="553B470D" w14:textId="7477E831" w:rsidR="00F15C29" w:rsidRPr="00DB1CEA" w:rsidRDefault="005E2B1A" w:rsidP="00DB4C7F">
            <w:pPr>
              <w:tabs>
                <w:tab w:val="left" w:pos="7479"/>
              </w:tabs>
              <w:jc w:val="both"/>
              <w:rPr>
                <w:rFonts w:ascii="Garamond" w:eastAsia="Garamond" w:hAnsi="Garamond" w:cs="Garamond"/>
                <w:color w:val="000000" w:themeColor="text1"/>
                <w:sz w:val="24"/>
                <w:szCs w:val="24"/>
              </w:rPr>
            </w:pPr>
            <w:r w:rsidRPr="00DB1CEA">
              <w:rPr>
                <w:rFonts w:ascii="Garamond" w:hAnsi="Garamond"/>
                <w:noProof/>
                <w:color w:val="000000" w:themeColor="text1"/>
                <w:sz w:val="24"/>
                <w:szCs w:val="24"/>
              </w:rPr>
              <w:drawing>
                <wp:inline distT="0" distB="0" distL="0" distR="0" wp14:anchorId="371396DD" wp14:editId="45D9CA97">
                  <wp:extent cx="1488379" cy="545910"/>
                  <wp:effectExtent l="0" t="0" r="0" b="6985"/>
                  <wp:docPr id="188963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88379" cy="545910"/>
                          </a:xfrm>
                          <a:prstGeom prst="rect">
                            <a:avLst/>
                          </a:prstGeom>
                        </pic:spPr>
                      </pic:pic>
                    </a:graphicData>
                  </a:graphic>
                </wp:inline>
              </w:drawing>
            </w:r>
          </w:p>
        </w:tc>
        <w:tc>
          <w:tcPr>
            <w:tcW w:w="5848" w:type="dxa"/>
            <w:hideMark/>
          </w:tcPr>
          <w:p w14:paraId="5E219B89" w14:textId="44144E47" w:rsidR="00F15C29" w:rsidRPr="00DB1CEA" w:rsidRDefault="00C07C2D" w:rsidP="00DB4C7F">
            <w:pPr>
              <w:tabs>
                <w:tab w:val="left" w:pos="7479"/>
              </w:tabs>
              <w:ind w:firstLine="2"/>
              <w:jc w:val="right"/>
              <w:rPr>
                <w:rFonts w:ascii="Garamond" w:eastAsia="Garamond" w:hAnsi="Garamond" w:cs="Garamond"/>
                <w:color w:val="000000" w:themeColor="text1"/>
                <w:sz w:val="24"/>
                <w:szCs w:val="24"/>
              </w:rPr>
            </w:pPr>
            <w:r w:rsidRPr="00DB1CEA">
              <w:rPr>
                <w:rFonts w:ascii="Garamond" w:hAnsi="Garamond"/>
                <w:noProof/>
                <w:color w:val="000000" w:themeColor="text1"/>
                <w:sz w:val="24"/>
                <w:szCs w:val="24"/>
              </w:rPr>
              <w:drawing>
                <wp:inline distT="0" distB="0" distL="0" distR="0" wp14:anchorId="5A0BCACA" wp14:editId="7D24377D">
                  <wp:extent cx="670720" cy="545465"/>
                  <wp:effectExtent l="0" t="0" r="0" b="698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rotWithShape="1">
                          <a:blip r:embed="rId9" cstate="print">
                            <a:extLst>
                              <a:ext uri="{28A0092B-C50C-407E-A947-70E740481C1C}">
                                <a14:useLocalDpi xmlns:a14="http://schemas.microsoft.com/office/drawing/2010/main" val="0"/>
                              </a:ext>
                            </a:extLst>
                          </a:blip>
                          <a:srcRect b="22580"/>
                          <a:stretch/>
                        </pic:blipFill>
                        <pic:spPr bwMode="auto">
                          <a:xfrm>
                            <a:off x="0" y="0"/>
                            <a:ext cx="676450" cy="550125"/>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1C85A31" w14:textId="60FFE4D7" w:rsidR="00ED6A54" w:rsidRPr="00DB1CEA" w:rsidRDefault="003A281B" w:rsidP="00DB4C7F">
      <w:pPr>
        <w:pStyle w:val="MDPI16affiliation"/>
        <w:spacing w:line="240" w:lineRule="auto"/>
        <w:ind w:left="0" w:right="-7" w:firstLine="0"/>
        <w:jc w:val="center"/>
        <w:rPr>
          <w:rFonts w:ascii="Garamond" w:eastAsia="Garamond" w:hAnsi="Garamond" w:cs="Garamond"/>
          <w:b/>
          <w:bCs/>
          <w:color w:val="000000" w:themeColor="text1"/>
          <w:sz w:val="32"/>
          <w:szCs w:val="32"/>
          <w:lang w:eastAsia="en-US" w:bidi="ar-SA"/>
        </w:rPr>
      </w:pPr>
      <w:bookmarkStart w:id="0" w:name="_Hlk149506814"/>
      <w:r w:rsidRPr="00DB1CEA">
        <w:rPr>
          <w:rFonts w:ascii="Garamond" w:eastAsia="Garamond" w:hAnsi="Garamond" w:cs="Garamond"/>
          <w:b/>
          <w:bCs/>
          <w:color w:val="000000" w:themeColor="text1"/>
          <w:sz w:val="32"/>
          <w:szCs w:val="32"/>
          <w:lang w:eastAsia="en-US" w:bidi="ar-SA"/>
        </w:rPr>
        <w:t>Geodemographic Assessment of Tuberculosis Patients Using Principal Component Analysis (PCA) in Gujranwala City, Pakistan</w:t>
      </w:r>
    </w:p>
    <w:bookmarkEnd w:id="0"/>
    <w:p w14:paraId="3C0FDF4B" w14:textId="6A99B39A" w:rsidR="00413231" w:rsidRPr="00DB1CEA" w:rsidRDefault="003A281B" w:rsidP="00DB4C7F">
      <w:pPr>
        <w:spacing w:after="0" w:line="240" w:lineRule="auto"/>
        <w:jc w:val="both"/>
        <w:rPr>
          <w:rFonts w:ascii="Garamond" w:hAnsi="Garamond"/>
          <w:sz w:val="24"/>
          <w:szCs w:val="24"/>
        </w:rPr>
      </w:pPr>
      <w:r w:rsidRPr="00DB1CEA">
        <w:rPr>
          <w:rFonts w:ascii="Garamond" w:hAnsi="Garamond"/>
          <w:sz w:val="24"/>
          <w:szCs w:val="24"/>
        </w:rPr>
        <w:t>Muhammad Miandad, Tayyaba Khalid, Nida Shehzad, Siddiqua Bibi</w:t>
      </w:r>
    </w:p>
    <w:p w14:paraId="76B50CCF" w14:textId="1E70C66E" w:rsidR="00413231" w:rsidRPr="00DB1CEA" w:rsidRDefault="003A281B" w:rsidP="00DB4C7F">
      <w:pPr>
        <w:spacing w:after="0" w:line="240" w:lineRule="auto"/>
        <w:jc w:val="both"/>
        <w:rPr>
          <w:rFonts w:ascii="Garamond" w:hAnsi="Garamond"/>
          <w:sz w:val="24"/>
          <w:szCs w:val="24"/>
        </w:rPr>
      </w:pPr>
      <w:r w:rsidRPr="00DB1CEA">
        <w:rPr>
          <w:rFonts w:ascii="Garamond" w:hAnsi="Garamond"/>
          <w:sz w:val="24"/>
          <w:szCs w:val="24"/>
        </w:rPr>
        <w:t>University of Gujrat</w:t>
      </w:r>
    </w:p>
    <w:p w14:paraId="5B5A4E1B" w14:textId="150DE0BB" w:rsidR="003A281B" w:rsidRPr="00DB1CEA" w:rsidRDefault="00413231" w:rsidP="00DB4C7F">
      <w:pPr>
        <w:spacing w:after="0" w:line="240" w:lineRule="auto"/>
        <w:jc w:val="both"/>
        <w:rPr>
          <w:rFonts w:ascii="Garamond" w:hAnsi="Garamond"/>
          <w:sz w:val="24"/>
          <w:szCs w:val="24"/>
        </w:rPr>
      </w:pPr>
      <w:r w:rsidRPr="00DB1CEA">
        <w:rPr>
          <w:rFonts w:ascii="Garamond" w:hAnsi="Garamond"/>
          <w:b/>
          <w:bCs/>
          <w:sz w:val="24"/>
          <w:szCs w:val="24"/>
          <w:vertAlign w:val="superscript"/>
        </w:rPr>
        <w:t>*</w:t>
      </w:r>
      <w:r w:rsidRPr="00DB1CEA">
        <w:rPr>
          <w:rFonts w:ascii="Garamond" w:hAnsi="Garamond"/>
          <w:b/>
          <w:bCs/>
          <w:sz w:val="24"/>
          <w:szCs w:val="24"/>
        </w:rPr>
        <w:t>Correspondence</w:t>
      </w:r>
      <w:r w:rsidRPr="00DB1CEA">
        <w:rPr>
          <w:rFonts w:ascii="Garamond" w:hAnsi="Garamond"/>
          <w:sz w:val="24"/>
          <w:szCs w:val="24"/>
        </w:rPr>
        <w:t>:</w:t>
      </w:r>
      <w:r w:rsidR="003A281B" w:rsidRPr="00DB1CEA">
        <w:rPr>
          <w:rFonts w:ascii="Garamond" w:hAnsi="Garamond"/>
        </w:rPr>
        <w:t xml:space="preserve"> </w:t>
      </w:r>
      <w:hyperlink r:id="rId10" w:history="1">
        <w:r w:rsidR="003A281B" w:rsidRPr="00DB1CEA">
          <w:rPr>
            <w:rStyle w:val="Hyperlink"/>
            <w:rFonts w:ascii="Garamond" w:hAnsi="Garamond"/>
            <w:sz w:val="24"/>
            <w:szCs w:val="24"/>
          </w:rPr>
          <w:t>muhammad.miandad@uog.edu.pk</w:t>
        </w:r>
      </w:hyperlink>
    </w:p>
    <w:p w14:paraId="292488AB" w14:textId="4F2B46EF" w:rsidR="00F15C29" w:rsidRDefault="00F15C29" w:rsidP="00DB4C7F">
      <w:pPr>
        <w:spacing w:after="0" w:line="240" w:lineRule="auto"/>
        <w:jc w:val="both"/>
        <w:rPr>
          <w:rFonts w:ascii="Garamond" w:eastAsia="Garamond" w:hAnsi="Garamond" w:cs="Garamond"/>
          <w:color w:val="000000" w:themeColor="text1"/>
          <w:shd w:val="clear" w:color="auto" w:fill="FFFFFF"/>
        </w:rPr>
      </w:pPr>
      <w:r w:rsidRPr="00DB1CEA">
        <w:rPr>
          <w:rFonts w:ascii="Garamond" w:eastAsia="Garamond" w:hAnsi="Garamond" w:cs="Garamond"/>
          <w:b/>
          <w:bCs/>
          <w:color w:val="000000" w:themeColor="text1"/>
        </w:rPr>
        <w:t>Citation</w:t>
      </w:r>
      <w:r w:rsidRPr="00DB1CEA">
        <w:rPr>
          <w:rFonts w:ascii="Garamond" w:eastAsia="Garamond" w:hAnsi="Garamond" w:cs="Garamond"/>
          <w:color w:val="000000" w:themeColor="text1"/>
          <w:w w:val="220"/>
        </w:rPr>
        <w:t>|</w:t>
      </w:r>
      <w:r w:rsidR="00EE5DAB" w:rsidRPr="00DB1CEA">
        <w:rPr>
          <w:rFonts w:ascii="Garamond" w:eastAsia="Garamond" w:hAnsi="Garamond" w:cs="Garamond"/>
          <w:color w:val="000000" w:themeColor="text1"/>
          <w:shd w:val="clear" w:color="auto" w:fill="FFFFFF"/>
        </w:rPr>
        <w:t xml:space="preserve"> </w:t>
      </w:r>
      <w:r w:rsidR="003A281B" w:rsidRPr="00DB1CEA">
        <w:rPr>
          <w:rFonts w:ascii="Garamond" w:eastAsia="Garamond" w:hAnsi="Garamond" w:cs="Garamond"/>
          <w:color w:val="000000" w:themeColor="text1"/>
          <w:shd w:val="clear" w:color="auto" w:fill="FFFFFF"/>
        </w:rPr>
        <w:t>Miandad. M, Khalid. T, Shehzad. N, Bibi. S</w:t>
      </w:r>
      <w:r w:rsidR="00413231" w:rsidRPr="00DB1CEA">
        <w:rPr>
          <w:rFonts w:ascii="Garamond" w:eastAsia="Garamond" w:hAnsi="Garamond" w:cs="Garamond"/>
          <w:color w:val="000000" w:themeColor="text1"/>
          <w:shd w:val="clear" w:color="auto" w:fill="FFFFFF"/>
        </w:rPr>
        <w:t>,</w:t>
      </w:r>
      <w:r w:rsidR="00EE5DAB" w:rsidRPr="00DB1CEA">
        <w:rPr>
          <w:rFonts w:ascii="Garamond" w:eastAsia="Garamond" w:hAnsi="Garamond" w:cs="Garamond"/>
          <w:color w:val="000000" w:themeColor="text1"/>
          <w:shd w:val="clear" w:color="auto" w:fill="FFFFFF"/>
        </w:rPr>
        <w:t xml:space="preserve"> </w:t>
      </w:r>
      <w:r w:rsidRPr="00DB1CEA">
        <w:rPr>
          <w:rFonts w:ascii="Garamond" w:eastAsia="Garamond" w:hAnsi="Garamond" w:cs="Garamond"/>
          <w:color w:val="000000" w:themeColor="text1"/>
          <w:shd w:val="clear" w:color="auto" w:fill="FFFFFF"/>
        </w:rPr>
        <w:t>“</w:t>
      </w:r>
      <w:r w:rsidR="003A281B" w:rsidRPr="00DB1CEA">
        <w:rPr>
          <w:rFonts w:ascii="Garamond" w:eastAsia="Garamond" w:hAnsi="Garamond" w:cs="Garamond"/>
          <w:color w:val="000000" w:themeColor="text1"/>
        </w:rPr>
        <w:t>Geodemographic Assessment of Tuberculosis Patients Using Principal Component Analysis (PCA) in Gujranwala City, Pakistan</w:t>
      </w:r>
      <w:r w:rsidR="00ED6A54" w:rsidRPr="00DB1CEA">
        <w:rPr>
          <w:rFonts w:ascii="Garamond" w:eastAsia="Garamond" w:hAnsi="Garamond" w:cs="Garamond"/>
          <w:color w:val="000000" w:themeColor="text1"/>
        </w:rPr>
        <w:t>”</w:t>
      </w:r>
      <w:r w:rsidRPr="00DB1CEA">
        <w:rPr>
          <w:rFonts w:ascii="Garamond" w:eastAsia="Garamond" w:hAnsi="Garamond" w:cs="Garamond"/>
          <w:color w:val="000000" w:themeColor="text1"/>
          <w:shd w:val="clear" w:color="auto" w:fill="FFFFFF"/>
        </w:rPr>
        <w:t>, IJ</w:t>
      </w:r>
      <w:r w:rsidR="001A4E3F" w:rsidRPr="00DB1CEA">
        <w:rPr>
          <w:rFonts w:ascii="Garamond" w:eastAsia="Garamond" w:hAnsi="Garamond" w:cs="Garamond"/>
          <w:color w:val="000000" w:themeColor="text1"/>
          <w:shd w:val="clear" w:color="auto" w:fill="FFFFFF"/>
        </w:rPr>
        <w:t>IST</w:t>
      </w:r>
      <w:r w:rsidRPr="00DB1CEA">
        <w:rPr>
          <w:rFonts w:ascii="Garamond" w:eastAsia="Garamond" w:hAnsi="Garamond" w:cs="Garamond"/>
          <w:color w:val="000000" w:themeColor="text1"/>
          <w:shd w:val="clear" w:color="auto" w:fill="FFFFFF"/>
        </w:rPr>
        <w:t xml:space="preserve">, </w:t>
      </w:r>
      <w:r w:rsidR="004377BF" w:rsidRPr="00DB1CEA">
        <w:rPr>
          <w:rFonts w:ascii="Garamond" w:eastAsia="Garamond" w:hAnsi="Garamond" w:cs="Garamond"/>
          <w:color w:val="000000" w:themeColor="text1"/>
          <w:shd w:val="clear" w:color="auto" w:fill="FFFFFF"/>
        </w:rPr>
        <w:t>Special Issue</w:t>
      </w:r>
      <w:r w:rsidR="00E66E72" w:rsidRPr="00DB1CEA">
        <w:rPr>
          <w:rFonts w:ascii="Garamond" w:eastAsia="Garamond" w:hAnsi="Garamond" w:cs="Garamond"/>
          <w:color w:val="000000" w:themeColor="text1"/>
          <w:shd w:val="clear" w:color="auto" w:fill="FFFFFF"/>
        </w:rPr>
        <w:t xml:space="preserve"> pp</w:t>
      </w:r>
      <w:r w:rsidRPr="00DB1CEA">
        <w:rPr>
          <w:rFonts w:ascii="Garamond" w:eastAsia="Garamond" w:hAnsi="Garamond" w:cs="Garamond"/>
          <w:color w:val="000000" w:themeColor="text1"/>
          <w:shd w:val="clear" w:color="auto" w:fill="FFFFFF"/>
        </w:rPr>
        <w:t xml:space="preserve"> </w:t>
      </w:r>
      <w:r w:rsidR="004377BF" w:rsidRPr="00DB1CEA">
        <w:rPr>
          <w:rFonts w:ascii="Garamond" w:eastAsia="Garamond" w:hAnsi="Garamond" w:cs="Garamond"/>
          <w:noProof/>
          <w:color w:val="000000" w:themeColor="text1"/>
        </w:rPr>
        <w:t>444-454</w:t>
      </w:r>
      <w:r w:rsidRPr="00DB1CEA">
        <w:rPr>
          <w:rFonts w:ascii="Garamond" w:eastAsia="Garamond" w:hAnsi="Garamond" w:cs="Garamond"/>
          <w:color w:val="000000" w:themeColor="text1"/>
          <w:shd w:val="clear" w:color="auto" w:fill="FFFFFF"/>
        </w:rPr>
        <w:t xml:space="preserve">, </w:t>
      </w:r>
      <w:r w:rsidR="000101FA" w:rsidRPr="00DB1CEA">
        <w:rPr>
          <w:rFonts w:ascii="Garamond" w:eastAsia="Garamond" w:hAnsi="Garamond" w:cs="Garamond"/>
          <w:color w:val="000000" w:themeColor="text1"/>
          <w:shd w:val="clear" w:color="auto" w:fill="FFFFFF"/>
        </w:rPr>
        <w:t>June</w:t>
      </w:r>
      <w:r w:rsidR="004E25B0" w:rsidRPr="00DB1CEA">
        <w:rPr>
          <w:rFonts w:ascii="Garamond" w:eastAsia="Garamond" w:hAnsi="Garamond" w:cs="Garamond"/>
          <w:color w:val="000000" w:themeColor="text1"/>
          <w:shd w:val="clear" w:color="auto" w:fill="FFFFFF"/>
        </w:rPr>
        <w:t xml:space="preserve"> </w:t>
      </w:r>
      <w:r w:rsidRPr="00DB1CEA">
        <w:rPr>
          <w:rFonts w:ascii="Garamond" w:eastAsia="Garamond" w:hAnsi="Garamond" w:cs="Garamond"/>
          <w:color w:val="000000" w:themeColor="text1"/>
          <w:shd w:val="clear" w:color="auto" w:fill="FFFFFF"/>
        </w:rPr>
        <w:t>202</w:t>
      </w:r>
      <w:r w:rsidR="00537988" w:rsidRPr="00DB1CEA">
        <w:rPr>
          <w:rFonts w:ascii="Garamond" w:eastAsia="Garamond" w:hAnsi="Garamond" w:cs="Garamond"/>
          <w:color w:val="000000" w:themeColor="text1"/>
          <w:shd w:val="clear" w:color="auto" w:fill="FFFFFF"/>
        </w:rPr>
        <w:t>4</w:t>
      </w:r>
    </w:p>
    <w:p w14:paraId="68C041E6" w14:textId="3EC64CB0" w:rsidR="00686C3F" w:rsidRPr="00686C3F" w:rsidRDefault="00686C3F" w:rsidP="00DB4C7F">
      <w:pPr>
        <w:spacing w:after="0" w:line="240" w:lineRule="auto"/>
        <w:jc w:val="both"/>
        <w:rPr>
          <w:rFonts w:ascii="Garamond" w:eastAsia="Garamond" w:hAnsi="Garamond" w:cs="Garamond"/>
          <w:b/>
          <w:bCs/>
          <w:color w:val="000000" w:themeColor="text1"/>
        </w:rPr>
      </w:pPr>
      <w:r w:rsidRPr="00686C3F">
        <w:rPr>
          <w:rFonts w:ascii="Garamond" w:eastAsia="Garamond" w:hAnsi="Garamond" w:cs="Garamond"/>
          <w:b/>
          <w:bCs/>
          <w:color w:val="000000" w:themeColor="text1"/>
          <w:shd w:val="clear" w:color="auto" w:fill="FFFFFF"/>
        </w:rPr>
        <w:t>DOI|</w:t>
      </w:r>
      <w:r>
        <w:rPr>
          <w:rFonts w:ascii="Garamond" w:eastAsia="Garamond" w:hAnsi="Garamond" w:cs="Garamond"/>
          <w:b/>
          <w:bCs/>
          <w:color w:val="000000" w:themeColor="text1"/>
          <w:shd w:val="clear" w:color="auto" w:fill="FFFFFF"/>
        </w:rPr>
        <w:t xml:space="preserve"> </w:t>
      </w:r>
      <w:r w:rsidRPr="00686C3F">
        <w:rPr>
          <w:rFonts w:ascii="Garamond" w:eastAsia="Garamond" w:hAnsi="Garamond" w:cs="Garamond"/>
          <w:b/>
          <w:bCs/>
          <w:color w:val="000000" w:themeColor="text1"/>
          <w:u w:val="single"/>
          <w:shd w:val="clear" w:color="auto" w:fill="FFFFFF"/>
        </w:rPr>
        <w:t>https://doi.org/10.33411/IJIST/900</w:t>
      </w:r>
    </w:p>
    <w:p w14:paraId="6702A80B" w14:textId="112DD67E" w:rsidR="00F15C29" w:rsidRPr="00DB1CEA" w:rsidRDefault="00D00196" w:rsidP="00DB4C7F">
      <w:pPr>
        <w:pBdr>
          <w:bottom w:val="single" w:sz="4" w:space="1" w:color="auto"/>
        </w:pBdr>
        <w:spacing w:after="0" w:line="240" w:lineRule="auto"/>
        <w:jc w:val="both"/>
        <w:rPr>
          <w:rFonts w:ascii="Garamond" w:eastAsia="Garamond" w:hAnsi="Garamond" w:cs="Garamond"/>
          <w:color w:val="000000" w:themeColor="text1"/>
          <w:w w:val="101"/>
          <w:sz w:val="24"/>
          <w:szCs w:val="24"/>
        </w:rPr>
      </w:pPr>
      <w:r w:rsidRPr="00DB1CEA">
        <w:rPr>
          <w:rFonts w:ascii="Garamond" w:eastAsia="Garamond" w:hAnsi="Garamond" w:cs="Garamond"/>
          <w:b/>
          <w:bCs/>
          <w:color w:val="000000" w:themeColor="text1"/>
          <w:w w:val="101"/>
          <w:sz w:val="24"/>
          <w:szCs w:val="24"/>
        </w:rPr>
        <w:t>Received|</w:t>
      </w:r>
      <w:r w:rsidR="0031151F" w:rsidRPr="00DB1CEA">
        <w:rPr>
          <w:rFonts w:ascii="Garamond" w:eastAsia="Garamond" w:hAnsi="Garamond" w:cs="Garamond"/>
          <w:b/>
          <w:bCs/>
          <w:color w:val="000000" w:themeColor="text1"/>
          <w:w w:val="101"/>
          <w:sz w:val="24"/>
          <w:szCs w:val="24"/>
        </w:rPr>
        <w:t xml:space="preserve"> </w:t>
      </w:r>
      <w:r w:rsidR="000101FA" w:rsidRPr="00DB1CEA">
        <w:rPr>
          <w:rFonts w:ascii="Garamond" w:eastAsia="Garamond" w:hAnsi="Garamond" w:cs="Garamond"/>
          <w:color w:val="000000" w:themeColor="text1"/>
          <w:sz w:val="24"/>
          <w:szCs w:val="24"/>
          <w:shd w:val="clear" w:color="auto" w:fill="FFFFFF"/>
        </w:rPr>
        <w:t>June</w:t>
      </w:r>
      <w:r w:rsidR="00413231" w:rsidRPr="00DB1CEA">
        <w:rPr>
          <w:rFonts w:ascii="Garamond" w:eastAsia="Garamond" w:hAnsi="Garamond" w:cs="Garamond"/>
          <w:color w:val="000000" w:themeColor="text1"/>
          <w:w w:val="101"/>
          <w:sz w:val="24"/>
          <w:szCs w:val="24"/>
        </w:rPr>
        <w:t xml:space="preserve"> </w:t>
      </w:r>
      <w:r w:rsidR="002B2FF6" w:rsidRPr="00DB1CEA">
        <w:rPr>
          <w:rFonts w:ascii="Garamond" w:eastAsia="Garamond" w:hAnsi="Garamond" w:cs="Garamond"/>
          <w:color w:val="000000" w:themeColor="text1"/>
          <w:w w:val="101"/>
          <w:sz w:val="24"/>
          <w:szCs w:val="24"/>
        </w:rPr>
        <w:t>1</w:t>
      </w:r>
      <w:r w:rsidR="008C1EFF" w:rsidRPr="00DB1CEA">
        <w:rPr>
          <w:rFonts w:ascii="Garamond" w:eastAsia="Garamond" w:hAnsi="Garamond" w:cs="Garamond"/>
          <w:color w:val="000000" w:themeColor="text1"/>
          <w:w w:val="101"/>
          <w:sz w:val="24"/>
          <w:szCs w:val="24"/>
        </w:rPr>
        <w:t>0</w:t>
      </w:r>
      <w:r w:rsidRPr="00DB1CEA">
        <w:rPr>
          <w:rFonts w:ascii="Garamond" w:eastAsia="Garamond" w:hAnsi="Garamond" w:cs="Garamond"/>
          <w:color w:val="000000" w:themeColor="text1"/>
          <w:w w:val="101"/>
          <w:sz w:val="24"/>
          <w:szCs w:val="24"/>
        </w:rPr>
        <w:t>, 202</w:t>
      </w:r>
      <w:r w:rsidR="00352CAB" w:rsidRPr="00DB1CEA">
        <w:rPr>
          <w:rFonts w:ascii="Garamond" w:eastAsia="Garamond" w:hAnsi="Garamond" w:cs="Garamond"/>
          <w:color w:val="000000" w:themeColor="text1"/>
          <w:w w:val="101"/>
          <w:sz w:val="24"/>
          <w:szCs w:val="24"/>
        </w:rPr>
        <w:t>4</w:t>
      </w:r>
      <w:r w:rsidRPr="00DB1CEA">
        <w:rPr>
          <w:rFonts w:ascii="Garamond" w:eastAsia="Garamond" w:hAnsi="Garamond" w:cs="Garamond"/>
          <w:b/>
          <w:bCs/>
          <w:color w:val="000000" w:themeColor="text1"/>
          <w:w w:val="101"/>
          <w:sz w:val="24"/>
          <w:szCs w:val="24"/>
        </w:rPr>
        <w:t xml:space="preserve"> Revised|</w:t>
      </w:r>
      <w:r w:rsidR="0031151F" w:rsidRPr="00DB1CEA">
        <w:rPr>
          <w:rFonts w:ascii="Garamond" w:eastAsia="Garamond" w:hAnsi="Garamond" w:cs="Garamond"/>
          <w:b/>
          <w:bCs/>
          <w:color w:val="000000" w:themeColor="text1"/>
          <w:w w:val="101"/>
          <w:sz w:val="24"/>
          <w:szCs w:val="24"/>
        </w:rPr>
        <w:t xml:space="preserve"> </w:t>
      </w:r>
      <w:r w:rsidR="000101FA" w:rsidRPr="00DB1CEA">
        <w:rPr>
          <w:rFonts w:ascii="Garamond" w:eastAsia="Garamond" w:hAnsi="Garamond" w:cs="Garamond"/>
          <w:color w:val="000000" w:themeColor="text1"/>
          <w:sz w:val="24"/>
          <w:szCs w:val="24"/>
          <w:shd w:val="clear" w:color="auto" w:fill="FFFFFF"/>
        </w:rPr>
        <w:t>June</w:t>
      </w:r>
      <w:r w:rsidR="00413231" w:rsidRPr="00DB1CEA">
        <w:rPr>
          <w:rFonts w:ascii="Garamond" w:eastAsia="Garamond" w:hAnsi="Garamond" w:cs="Garamond"/>
          <w:color w:val="000000" w:themeColor="text1"/>
          <w:w w:val="101"/>
          <w:sz w:val="24"/>
          <w:szCs w:val="24"/>
        </w:rPr>
        <w:t xml:space="preserve"> </w:t>
      </w:r>
      <w:r w:rsidR="008C1EFF" w:rsidRPr="00DB1CEA">
        <w:rPr>
          <w:rFonts w:ascii="Garamond" w:eastAsia="Garamond" w:hAnsi="Garamond" w:cs="Garamond"/>
          <w:color w:val="000000" w:themeColor="text1"/>
          <w:w w:val="101"/>
          <w:sz w:val="24"/>
          <w:szCs w:val="24"/>
        </w:rPr>
        <w:t>15</w:t>
      </w:r>
      <w:r w:rsidRPr="00DB1CEA">
        <w:rPr>
          <w:rFonts w:ascii="Garamond" w:eastAsia="Garamond" w:hAnsi="Garamond" w:cs="Garamond"/>
          <w:color w:val="000000" w:themeColor="text1"/>
          <w:w w:val="101"/>
          <w:sz w:val="24"/>
          <w:szCs w:val="24"/>
        </w:rPr>
        <w:t>, 202</w:t>
      </w:r>
      <w:r w:rsidR="00352CAB" w:rsidRPr="00DB1CEA">
        <w:rPr>
          <w:rFonts w:ascii="Garamond" w:eastAsia="Garamond" w:hAnsi="Garamond" w:cs="Garamond"/>
          <w:color w:val="000000" w:themeColor="text1"/>
          <w:w w:val="101"/>
          <w:sz w:val="24"/>
          <w:szCs w:val="24"/>
        </w:rPr>
        <w:t>4</w:t>
      </w:r>
      <w:r w:rsidRPr="00DB1CEA">
        <w:rPr>
          <w:rFonts w:ascii="Garamond" w:eastAsia="Garamond" w:hAnsi="Garamond" w:cs="Garamond"/>
          <w:b/>
          <w:bCs/>
          <w:color w:val="000000" w:themeColor="text1"/>
          <w:w w:val="101"/>
          <w:sz w:val="24"/>
          <w:szCs w:val="24"/>
        </w:rPr>
        <w:t xml:space="preserve"> Accepted|</w:t>
      </w:r>
      <w:r w:rsidR="001A4E3F" w:rsidRPr="00DB1CEA">
        <w:rPr>
          <w:rFonts w:ascii="Garamond" w:eastAsia="Garamond" w:hAnsi="Garamond" w:cs="Garamond"/>
          <w:b/>
          <w:bCs/>
          <w:color w:val="000000" w:themeColor="text1"/>
          <w:w w:val="101"/>
          <w:sz w:val="24"/>
          <w:szCs w:val="24"/>
        </w:rPr>
        <w:t xml:space="preserve"> </w:t>
      </w:r>
      <w:r w:rsidR="000101FA" w:rsidRPr="00DB1CEA">
        <w:rPr>
          <w:rFonts w:ascii="Garamond" w:eastAsia="Garamond" w:hAnsi="Garamond" w:cs="Garamond"/>
          <w:color w:val="000000" w:themeColor="text1"/>
          <w:sz w:val="24"/>
          <w:szCs w:val="24"/>
          <w:shd w:val="clear" w:color="auto" w:fill="FFFFFF"/>
        </w:rPr>
        <w:t>June</w:t>
      </w:r>
      <w:r w:rsidR="00413231" w:rsidRPr="00DB1CEA">
        <w:rPr>
          <w:rFonts w:ascii="Garamond" w:eastAsia="Garamond" w:hAnsi="Garamond" w:cs="Garamond"/>
          <w:color w:val="000000" w:themeColor="text1"/>
          <w:w w:val="101"/>
          <w:sz w:val="24"/>
          <w:szCs w:val="24"/>
        </w:rPr>
        <w:t xml:space="preserve"> </w:t>
      </w:r>
      <w:r w:rsidR="008C1EFF" w:rsidRPr="00DB1CEA">
        <w:rPr>
          <w:rFonts w:ascii="Garamond" w:eastAsia="Garamond" w:hAnsi="Garamond" w:cs="Garamond"/>
          <w:color w:val="000000" w:themeColor="text1"/>
          <w:w w:val="101"/>
          <w:sz w:val="24"/>
          <w:szCs w:val="24"/>
        </w:rPr>
        <w:t>19</w:t>
      </w:r>
      <w:r w:rsidRPr="00DB1CEA">
        <w:rPr>
          <w:rFonts w:ascii="Garamond" w:eastAsia="Garamond" w:hAnsi="Garamond" w:cs="Garamond"/>
          <w:color w:val="000000" w:themeColor="text1"/>
          <w:w w:val="101"/>
          <w:sz w:val="24"/>
          <w:szCs w:val="24"/>
        </w:rPr>
        <w:t>, 202</w:t>
      </w:r>
      <w:r w:rsidR="00352CAB" w:rsidRPr="00DB1CEA">
        <w:rPr>
          <w:rFonts w:ascii="Garamond" w:eastAsia="Garamond" w:hAnsi="Garamond" w:cs="Garamond"/>
          <w:color w:val="000000" w:themeColor="text1"/>
          <w:w w:val="101"/>
          <w:sz w:val="24"/>
          <w:szCs w:val="24"/>
        </w:rPr>
        <w:t>4</w:t>
      </w:r>
      <w:r w:rsidRPr="00DB1CEA">
        <w:rPr>
          <w:rFonts w:ascii="Garamond" w:eastAsia="Garamond" w:hAnsi="Garamond" w:cs="Garamond"/>
          <w:b/>
          <w:bCs/>
          <w:color w:val="000000" w:themeColor="text1"/>
          <w:w w:val="101"/>
          <w:sz w:val="24"/>
          <w:szCs w:val="24"/>
        </w:rPr>
        <w:t xml:space="preserve"> Published|</w:t>
      </w:r>
      <w:r w:rsidR="0031151F" w:rsidRPr="00DB1CEA">
        <w:rPr>
          <w:rFonts w:ascii="Garamond" w:eastAsia="Garamond" w:hAnsi="Garamond" w:cs="Garamond"/>
          <w:b/>
          <w:bCs/>
          <w:color w:val="000000" w:themeColor="text1"/>
          <w:w w:val="101"/>
          <w:sz w:val="24"/>
          <w:szCs w:val="24"/>
        </w:rPr>
        <w:t xml:space="preserve"> </w:t>
      </w:r>
      <w:r w:rsidR="000101FA" w:rsidRPr="00DB1CEA">
        <w:rPr>
          <w:rFonts w:ascii="Garamond" w:eastAsia="Garamond" w:hAnsi="Garamond" w:cs="Garamond"/>
          <w:color w:val="000000" w:themeColor="text1"/>
          <w:sz w:val="24"/>
          <w:szCs w:val="24"/>
          <w:shd w:val="clear" w:color="auto" w:fill="FFFFFF"/>
        </w:rPr>
        <w:t>June</w:t>
      </w:r>
      <w:r w:rsidR="004E25B0" w:rsidRPr="00DB1CEA">
        <w:rPr>
          <w:rFonts w:ascii="Garamond" w:eastAsia="Garamond" w:hAnsi="Garamond" w:cs="Garamond"/>
          <w:color w:val="000000" w:themeColor="text1"/>
          <w:w w:val="101"/>
          <w:sz w:val="24"/>
          <w:szCs w:val="24"/>
        </w:rPr>
        <w:t xml:space="preserve"> </w:t>
      </w:r>
      <w:r w:rsidR="008C1EFF" w:rsidRPr="00DB1CEA">
        <w:rPr>
          <w:rFonts w:ascii="Garamond" w:eastAsia="Garamond" w:hAnsi="Garamond" w:cs="Garamond"/>
          <w:color w:val="000000" w:themeColor="text1"/>
          <w:w w:val="101"/>
          <w:sz w:val="24"/>
          <w:szCs w:val="24"/>
        </w:rPr>
        <w:t>28</w:t>
      </w:r>
      <w:r w:rsidRPr="00DB1CEA">
        <w:rPr>
          <w:rFonts w:ascii="Garamond" w:eastAsia="Garamond" w:hAnsi="Garamond" w:cs="Garamond"/>
          <w:color w:val="000000" w:themeColor="text1"/>
          <w:w w:val="101"/>
          <w:sz w:val="24"/>
          <w:szCs w:val="24"/>
        </w:rPr>
        <w:t>, 202</w:t>
      </w:r>
      <w:r w:rsidR="00537988" w:rsidRPr="00DB1CEA">
        <w:rPr>
          <w:rFonts w:ascii="Garamond" w:eastAsia="Garamond" w:hAnsi="Garamond" w:cs="Garamond"/>
          <w:color w:val="000000" w:themeColor="text1"/>
          <w:w w:val="101"/>
          <w:sz w:val="24"/>
          <w:szCs w:val="24"/>
        </w:rPr>
        <w:t>4</w:t>
      </w:r>
      <w:r w:rsidR="001C0B61" w:rsidRPr="00DB1CEA">
        <w:rPr>
          <w:rFonts w:ascii="Garamond" w:eastAsia="Garamond" w:hAnsi="Garamond" w:cs="Garamond"/>
          <w:color w:val="000000" w:themeColor="text1"/>
          <w:w w:val="101"/>
          <w:sz w:val="24"/>
          <w:szCs w:val="24"/>
        </w:rPr>
        <w:t>.</w:t>
      </w:r>
    </w:p>
    <w:p w14:paraId="6529F445" w14:textId="5249EECF" w:rsidR="001F1BF5" w:rsidRPr="00DB1CEA" w:rsidRDefault="001F1BF5" w:rsidP="001F1BF5">
      <w:pPr>
        <w:spacing w:after="0" w:line="240" w:lineRule="auto"/>
        <w:ind w:right="-7"/>
        <w:jc w:val="both"/>
        <w:rPr>
          <w:rFonts w:ascii="Garamond" w:eastAsia="Garamond" w:hAnsi="Garamond" w:cs="Garamond"/>
          <w:bCs/>
          <w:color w:val="000000" w:themeColor="text1"/>
          <w:position w:val="-10"/>
          <w:sz w:val="24"/>
          <w:szCs w:val="24"/>
        </w:rPr>
      </w:pPr>
      <w:r w:rsidRPr="00DB1CEA">
        <w:rPr>
          <w:rFonts w:ascii="Garamond" w:eastAsia="Garamond" w:hAnsi="Garamond" w:cs="Garamond"/>
          <w:b/>
          <w:color w:val="000000" w:themeColor="text1"/>
          <w:position w:val="-10"/>
          <w:sz w:val="24"/>
          <w:szCs w:val="24"/>
        </w:rPr>
        <w:t>Introduction/Importance of the Study:</w:t>
      </w:r>
      <w:r w:rsidRPr="00DB1CEA">
        <w:rPr>
          <w:rFonts w:ascii="Garamond" w:eastAsia="Garamond" w:hAnsi="Garamond" w:cs="Garamond"/>
          <w:bCs/>
          <w:color w:val="000000" w:themeColor="text1"/>
          <w:position w:val="-10"/>
          <w:sz w:val="24"/>
          <w:szCs w:val="24"/>
        </w:rPr>
        <w:t xml:space="preserve"> Tuberculosis (TB) is a highly contagious disease caused by the bacterium Mycobacterium tuberculosis. It has persisted for centuries and primarily affects the lungs, spreading through airborne droplets. First identified by Robert Koch in 1882, TB remains a global health challenge. The World Health Organization (WHO) has been actively working to reduce TB incidence worldwide, and their efforts have led to a decline in infection rates over time. TB is closely related to geodemographic factors, which influence its prevalence and distribution.</w:t>
      </w:r>
    </w:p>
    <w:p w14:paraId="5AA1EDFB" w14:textId="50817238" w:rsidR="001F1BF5" w:rsidRPr="00DB1CEA" w:rsidRDefault="001F1BF5" w:rsidP="001F1BF5">
      <w:pPr>
        <w:spacing w:after="0" w:line="240" w:lineRule="auto"/>
        <w:ind w:right="-7"/>
        <w:jc w:val="both"/>
        <w:rPr>
          <w:rFonts w:ascii="Garamond" w:eastAsia="Garamond" w:hAnsi="Garamond" w:cs="Garamond"/>
          <w:bCs/>
          <w:color w:val="000000" w:themeColor="text1"/>
          <w:position w:val="-10"/>
          <w:sz w:val="24"/>
          <w:szCs w:val="24"/>
        </w:rPr>
      </w:pPr>
      <w:r w:rsidRPr="00DB1CEA">
        <w:rPr>
          <w:rFonts w:ascii="Garamond" w:eastAsia="Garamond" w:hAnsi="Garamond" w:cs="Garamond"/>
          <w:b/>
          <w:color w:val="000000" w:themeColor="text1"/>
          <w:position w:val="-10"/>
          <w:sz w:val="24"/>
          <w:szCs w:val="24"/>
        </w:rPr>
        <w:t xml:space="preserve">Objective: </w:t>
      </w:r>
      <w:r w:rsidRPr="00DB1CEA">
        <w:rPr>
          <w:rFonts w:ascii="Garamond" w:eastAsia="Garamond" w:hAnsi="Garamond" w:cs="Garamond"/>
          <w:bCs/>
          <w:color w:val="000000" w:themeColor="text1"/>
          <w:position w:val="-10"/>
          <w:sz w:val="24"/>
          <w:szCs w:val="24"/>
        </w:rPr>
        <w:t>This study aims to investigate the risk factors, spatial distribution, and hotspot areas of TB in Gujranwala city.</w:t>
      </w:r>
    </w:p>
    <w:p w14:paraId="04D52913" w14:textId="290D47EA" w:rsidR="001F1BF5" w:rsidRPr="00DB1CEA" w:rsidRDefault="001F1BF5" w:rsidP="001F1BF5">
      <w:pPr>
        <w:spacing w:after="0" w:line="240" w:lineRule="auto"/>
        <w:ind w:right="-7"/>
        <w:jc w:val="both"/>
        <w:rPr>
          <w:rFonts w:ascii="Garamond" w:eastAsia="Garamond" w:hAnsi="Garamond" w:cs="Garamond"/>
          <w:bCs/>
          <w:color w:val="000000" w:themeColor="text1"/>
          <w:position w:val="-10"/>
          <w:sz w:val="24"/>
          <w:szCs w:val="24"/>
        </w:rPr>
      </w:pPr>
      <w:r w:rsidRPr="00DB1CEA">
        <w:rPr>
          <w:rFonts w:ascii="Garamond" w:eastAsia="Garamond" w:hAnsi="Garamond" w:cs="Garamond"/>
          <w:b/>
          <w:color w:val="000000" w:themeColor="text1"/>
          <w:position w:val="-10"/>
          <w:sz w:val="24"/>
          <w:szCs w:val="24"/>
        </w:rPr>
        <w:t xml:space="preserve">Material and Methods: </w:t>
      </w:r>
      <w:r w:rsidRPr="00DB1CEA">
        <w:rPr>
          <w:rFonts w:ascii="Garamond" w:eastAsia="Garamond" w:hAnsi="Garamond" w:cs="Garamond"/>
          <w:bCs/>
          <w:color w:val="000000" w:themeColor="text1"/>
          <w:position w:val="-10"/>
          <w:sz w:val="24"/>
          <w:szCs w:val="24"/>
        </w:rPr>
        <w:t>Primary data were collected through questionnaire surveys, and secondary data were obtained from TB center records. These data were analyzed using statistical Principal Component Analysis (PCA) and Geographic Information System (GIS) software.</w:t>
      </w:r>
    </w:p>
    <w:p w14:paraId="02984BFB" w14:textId="595C4B58" w:rsidR="001F1BF5" w:rsidRPr="00DB1CEA" w:rsidRDefault="001F1BF5" w:rsidP="001F1BF5">
      <w:pPr>
        <w:spacing w:after="0" w:line="240" w:lineRule="auto"/>
        <w:ind w:right="-7"/>
        <w:jc w:val="both"/>
        <w:rPr>
          <w:rFonts w:ascii="Garamond" w:eastAsia="Garamond" w:hAnsi="Garamond" w:cs="Garamond"/>
          <w:bCs/>
          <w:color w:val="000000" w:themeColor="text1"/>
          <w:position w:val="-10"/>
          <w:sz w:val="24"/>
          <w:szCs w:val="24"/>
        </w:rPr>
      </w:pPr>
      <w:r w:rsidRPr="00BB7862">
        <w:rPr>
          <w:rFonts w:ascii="Garamond" w:eastAsia="Garamond" w:hAnsi="Garamond" w:cs="Garamond"/>
          <w:b/>
          <w:color w:val="000000" w:themeColor="text1"/>
          <w:position w:val="-10"/>
          <w:sz w:val="24"/>
          <w:szCs w:val="24"/>
        </w:rPr>
        <w:t>Novelty Statement:</w:t>
      </w:r>
      <w:r w:rsidRPr="00DB1CEA">
        <w:rPr>
          <w:rFonts w:ascii="Garamond" w:eastAsia="Garamond" w:hAnsi="Garamond" w:cs="Garamond"/>
          <w:bCs/>
          <w:color w:val="000000" w:themeColor="text1"/>
          <w:position w:val="-10"/>
          <w:sz w:val="24"/>
          <w:szCs w:val="24"/>
        </w:rPr>
        <w:t xml:space="preserve"> This study provides a geographical analysis of TB patients, offering significant insights that could enhance TB treatment strategies.</w:t>
      </w:r>
    </w:p>
    <w:p w14:paraId="6102F1CA" w14:textId="17B7F17D" w:rsidR="001F1BF5" w:rsidRPr="00DB1CEA" w:rsidRDefault="001F1BF5" w:rsidP="001F1BF5">
      <w:pPr>
        <w:spacing w:after="0" w:line="240" w:lineRule="auto"/>
        <w:ind w:right="-7"/>
        <w:jc w:val="both"/>
        <w:rPr>
          <w:rFonts w:ascii="Garamond" w:eastAsia="Garamond" w:hAnsi="Garamond" w:cs="Garamond"/>
          <w:bCs/>
          <w:color w:val="000000" w:themeColor="text1"/>
          <w:position w:val="-10"/>
          <w:sz w:val="24"/>
          <w:szCs w:val="24"/>
        </w:rPr>
      </w:pPr>
      <w:r w:rsidRPr="00DB1CEA">
        <w:rPr>
          <w:rFonts w:ascii="Garamond" w:eastAsia="Garamond" w:hAnsi="Garamond" w:cs="Garamond"/>
          <w:b/>
          <w:color w:val="000000" w:themeColor="text1"/>
          <w:position w:val="-10"/>
          <w:sz w:val="24"/>
          <w:szCs w:val="24"/>
        </w:rPr>
        <w:t xml:space="preserve">Results and Discussion: </w:t>
      </w:r>
      <w:r w:rsidRPr="00DB1CEA">
        <w:rPr>
          <w:rFonts w:ascii="Garamond" w:eastAsia="Garamond" w:hAnsi="Garamond" w:cs="Garamond"/>
          <w:bCs/>
          <w:color w:val="000000" w:themeColor="text1"/>
          <w:position w:val="-10"/>
          <w:sz w:val="24"/>
          <w:szCs w:val="24"/>
        </w:rPr>
        <w:t>The analysis revealed that socioeconomic status, diet, diagnostic practices, and ecological conditions are key risk factors for TB. High-incidence areas are often characterized by poor ecological and economic conditions, predominantly inhabited by low- to middle-income labor class populations. Specific areas such as Ladhewala Wraich, Chicherwali, Kachi Phatuman, and Loyawala face ongoing environmental and socioeconomic challenges.</w:t>
      </w:r>
    </w:p>
    <w:p w14:paraId="09F5A17C" w14:textId="1D50789F" w:rsidR="001F1BF5" w:rsidRPr="00DB1CEA" w:rsidRDefault="001F1BF5" w:rsidP="001F1BF5">
      <w:pPr>
        <w:spacing w:after="0" w:line="240" w:lineRule="auto"/>
        <w:ind w:right="-7"/>
        <w:jc w:val="both"/>
        <w:rPr>
          <w:rFonts w:ascii="Garamond" w:eastAsia="Garamond" w:hAnsi="Garamond" w:cs="Garamond"/>
          <w:bCs/>
          <w:color w:val="000000" w:themeColor="text1"/>
          <w:position w:val="-10"/>
          <w:sz w:val="24"/>
          <w:szCs w:val="24"/>
        </w:rPr>
      </w:pPr>
      <w:r w:rsidRPr="00DB1CEA">
        <w:rPr>
          <w:rFonts w:ascii="Garamond" w:eastAsia="Garamond" w:hAnsi="Garamond" w:cs="Garamond"/>
          <w:b/>
          <w:color w:val="000000" w:themeColor="text1"/>
          <w:position w:val="-10"/>
          <w:sz w:val="24"/>
          <w:szCs w:val="24"/>
        </w:rPr>
        <w:t xml:space="preserve">Concluding Remarks: </w:t>
      </w:r>
      <w:r w:rsidRPr="00DB1CEA">
        <w:rPr>
          <w:rFonts w:ascii="Garamond" w:eastAsia="Garamond" w:hAnsi="Garamond" w:cs="Garamond"/>
          <w:bCs/>
          <w:color w:val="000000" w:themeColor="text1"/>
          <w:position w:val="-10"/>
          <w:sz w:val="24"/>
          <w:szCs w:val="24"/>
        </w:rPr>
        <w:t>Addressing these adverse conditions is crucial for reducing TB spread. Strengthening the immune system is also vital in preventing the disease. The government has a critical role in implementing measures to eradicate TB in Pakistan and improve overall public health.</w:t>
      </w:r>
    </w:p>
    <w:p w14:paraId="6D042F0B" w14:textId="599A53E8" w:rsidR="00E63940" w:rsidRPr="00DB1CEA" w:rsidRDefault="007943B0" w:rsidP="00477AF6">
      <w:pPr>
        <w:spacing w:after="0" w:line="240" w:lineRule="auto"/>
        <w:ind w:right="-7"/>
        <w:jc w:val="both"/>
        <w:rPr>
          <w:rFonts w:ascii="Garamond" w:eastAsia="Garamond" w:hAnsi="Garamond" w:cs="Garamond"/>
          <w:color w:val="000000" w:themeColor="text1"/>
          <w:position w:val="-10"/>
          <w:sz w:val="24"/>
          <w:szCs w:val="24"/>
        </w:rPr>
      </w:pPr>
      <w:r w:rsidRPr="00DB1CEA">
        <w:rPr>
          <w:rFonts w:ascii="Garamond" w:eastAsia="Garamond" w:hAnsi="Garamond" w:cs="Garamond"/>
          <w:b/>
          <w:bCs/>
          <w:color w:val="000000" w:themeColor="text1"/>
          <w:position w:val="-10"/>
          <w:sz w:val="24"/>
          <w:szCs w:val="24"/>
        </w:rPr>
        <w:t>Keywords:</w:t>
      </w:r>
      <w:r w:rsidRPr="00DB1CEA">
        <w:rPr>
          <w:rFonts w:ascii="Garamond" w:eastAsia="Garamond" w:hAnsi="Garamond" w:cs="Garamond"/>
          <w:color w:val="000000" w:themeColor="text1"/>
          <w:position w:val="-10"/>
          <w:sz w:val="24"/>
          <w:szCs w:val="24"/>
        </w:rPr>
        <w:t xml:space="preserve"> Tuberculosis, Socioeconomic, Principal Component Analysis, Gujranwala.</w:t>
      </w:r>
    </w:p>
    <w:tbl>
      <w:tblPr>
        <w:tblW w:w="8838" w:type="dxa"/>
        <w:tblLayout w:type="fixed"/>
        <w:tblLook w:val="04A0" w:firstRow="1" w:lastRow="0" w:firstColumn="1" w:lastColumn="0" w:noHBand="0" w:noVBand="1"/>
      </w:tblPr>
      <w:tblGrid>
        <w:gridCol w:w="1574"/>
        <w:gridCol w:w="1965"/>
        <w:gridCol w:w="2060"/>
        <w:gridCol w:w="1463"/>
        <w:gridCol w:w="1776"/>
      </w:tblGrid>
      <w:tr w:rsidR="00D54C09" w:rsidRPr="00DB1CEA" w14:paraId="52F173CA" w14:textId="77777777" w:rsidTr="6F90D69E">
        <w:trPr>
          <w:trHeight w:val="503"/>
        </w:trPr>
        <w:tc>
          <w:tcPr>
            <w:tcW w:w="1574" w:type="dxa"/>
          </w:tcPr>
          <w:p w14:paraId="4515E94E" w14:textId="77777777" w:rsidR="009A508E" w:rsidRPr="00DB1CEA" w:rsidRDefault="009A508E" w:rsidP="00477AF6">
            <w:pPr>
              <w:tabs>
                <w:tab w:val="left" w:pos="2835"/>
              </w:tabs>
              <w:spacing w:after="0" w:line="240" w:lineRule="auto"/>
              <w:ind w:left="-107"/>
              <w:jc w:val="center"/>
              <w:rPr>
                <w:rFonts w:ascii="Garamond" w:eastAsia="Garamond" w:hAnsi="Garamond" w:cs="Garamond"/>
                <w:b/>
                <w:bCs/>
                <w:color w:val="000000" w:themeColor="text1"/>
                <w:sz w:val="24"/>
                <w:szCs w:val="24"/>
              </w:rPr>
            </w:pPr>
            <w:bookmarkStart w:id="1" w:name="_Hlk120457397"/>
            <w:r w:rsidRPr="00DB1CEA">
              <w:rPr>
                <w:rFonts w:ascii="Garamond" w:hAnsi="Garamond"/>
                <w:noProof/>
                <w:color w:val="000000" w:themeColor="text1"/>
                <w:sz w:val="24"/>
                <w:szCs w:val="24"/>
              </w:rPr>
              <w:drawing>
                <wp:inline distT="0" distB="0" distL="0" distR="0" wp14:anchorId="7B097D2C" wp14:editId="7BF64ECF">
                  <wp:extent cx="935665" cy="32806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35665" cy="328060"/>
                          </a:xfrm>
                          <a:prstGeom prst="rect">
                            <a:avLst/>
                          </a:prstGeom>
                        </pic:spPr>
                      </pic:pic>
                    </a:graphicData>
                  </a:graphic>
                </wp:inline>
              </w:drawing>
            </w:r>
          </w:p>
        </w:tc>
        <w:tc>
          <w:tcPr>
            <w:tcW w:w="1965" w:type="dxa"/>
          </w:tcPr>
          <w:p w14:paraId="74A4341E" w14:textId="77777777" w:rsidR="009A508E" w:rsidRPr="00DB1CEA" w:rsidRDefault="009A508E" w:rsidP="00477AF6">
            <w:pPr>
              <w:tabs>
                <w:tab w:val="left" w:pos="2835"/>
              </w:tabs>
              <w:spacing w:after="0" w:line="240" w:lineRule="auto"/>
              <w:ind w:left="-107"/>
              <w:jc w:val="center"/>
              <w:rPr>
                <w:rFonts w:ascii="Garamond" w:eastAsia="Garamond" w:hAnsi="Garamond" w:cs="Garamond"/>
                <w:b/>
                <w:bCs/>
                <w:color w:val="000000" w:themeColor="text1"/>
                <w:sz w:val="24"/>
                <w:szCs w:val="24"/>
              </w:rPr>
            </w:pPr>
            <w:r w:rsidRPr="00DB1CEA">
              <w:rPr>
                <w:rFonts w:ascii="Garamond" w:hAnsi="Garamond"/>
                <w:noProof/>
                <w:color w:val="000000" w:themeColor="text1"/>
                <w:sz w:val="24"/>
                <w:szCs w:val="24"/>
              </w:rPr>
              <w:drawing>
                <wp:inline distT="0" distB="0" distL="0" distR="0" wp14:anchorId="3930982B" wp14:editId="19AC2439">
                  <wp:extent cx="1010093" cy="33153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10093" cy="331535"/>
                          </a:xfrm>
                          <a:prstGeom prst="rect">
                            <a:avLst/>
                          </a:prstGeom>
                        </pic:spPr>
                      </pic:pic>
                    </a:graphicData>
                  </a:graphic>
                </wp:inline>
              </w:drawing>
            </w:r>
          </w:p>
        </w:tc>
        <w:tc>
          <w:tcPr>
            <w:tcW w:w="2060" w:type="dxa"/>
          </w:tcPr>
          <w:p w14:paraId="5A705A7C" w14:textId="77777777" w:rsidR="009A508E" w:rsidRPr="00DB1CEA" w:rsidRDefault="009A508E" w:rsidP="00477AF6">
            <w:pPr>
              <w:tabs>
                <w:tab w:val="left" w:pos="2835"/>
              </w:tabs>
              <w:spacing w:after="0" w:line="240" w:lineRule="auto"/>
              <w:ind w:left="-107"/>
              <w:jc w:val="center"/>
              <w:rPr>
                <w:rFonts w:ascii="Garamond" w:eastAsia="Garamond" w:hAnsi="Garamond" w:cs="Garamond"/>
                <w:b/>
                <w:bCs/>
                <w:color w:val="000000" w:themeColor="text1"/>
                <w:sz w:val="24"/>
                <w:szCs w:val="24"/>
              </w:rPr>
            </w:pPr>
            <w:r w:rsidRPr="00DB1CEA">
              <w:rPr>
                <w:rFonts w:ascii="Garamond" w:hAnsi="Garamond"/>
                <w:b/>
                <w:noProof/>
                <w:color w:val="000000" w:themeColor="text1"/>
                <w:sz w:val="24"/>
                <w:szCs w:val="24"/>
              </w:rPr>
              <w:drawing>
                <wp:inline distT="0" distB="0" distL="0" distR="0" wp14:anchorId="7AD097FF" wp14:editId="2F640FF8">
                  <wp:extent cx="1209248" cy="265814"/>
                  <wp:effectExtent l="0" t="0" r="0" b="127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191" b="20878"/>
                          <a:stretch/>
                        </pic:blipFill>
                        <pic:spPr bwMode="auto">
                          <a:xfrm>
                            <a:off x="0" y="0"/>
                            <a:ext cx="1320282" cy="29022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63" w:type="dxa"/>
          </w:tcPr>
          <w:p w14:paraId="234C1CFE" w14:textId="3FBF185B" w:rsidR="009A508E" w:rsidRPr="00DB1CEA" w:rsidRDefault="009A508E" w:rsidP="00477AF6">
            <w:pPr>
              <w:tabs>
                <w:tab w:val="left" w:pos="2835"/>
              </w:tabs>
              <w:spacing w:after="0" w:line="240" w:lineRule="auto"/>
              <w:ind w:left="-107"/>
              <w:jc w:val="center"/>
              <w:rPr>
                <w:rFonts w:ascii="Garamond" w:eastAsia="Garamond" w:hAnsi="Garamond" w:cs="Garamond"/>
                <w:b/>
                <w:bCs/>
                <w:color w:val="000000" w:themeColor="text1"/>
                <w:sz w:val="24"/>
                <w:szCs w:val="24"/>
              </w:rPr>
            </w:pPr>
            <w:r w:rsidRPr="00DB1CEA">
              <w:rPr>
                <w:rFonts w:ascii="Garamond" w:hAnsi="Garamond"/>
                <w:noProof/>
                <w:color w:val="000000" w:themeColor="text1"/>
                <w:sz w:val="24"/>
                <w:szCs w:val="24"/>
              </w:rPr>
              <w:drawing>
                <wp:inline distT="0" distB="0" distL="0" distR="0" wp14:anchorId="211636B3" wp14:editId="4E652793">
                  <wp:extent cx="347014" cy="33147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47014" cy="331470"/>
                          </a:xfrm>
                          <a:prstGeom prst="rect">
                            <a:avLst/>
                          </a:prstGeom>
                        </pic:spPr>
                      </pic:pic>
                    </a:graphicData>
                  </a:graphic>
                </wp:inline>
              </w:drawing>
            </w:r>
          </w:p>
        </w:tc>
        <w:tc>
          <w:tcPr>
            <w:tcW w:w="1776" w:type="dxa"/>
          </w:tcPr>
          <w:p w14:paraId="496D823B" w14:textId="67209BCC" w:rsidR="009A508E" w:rsidRPr="00DB1CEA" w:rsidRDefault="009A508E" w:rsidP="00477AF6">
            <w:pPr>
              <w:tabs>
                <w:tab w:val="left" w:pos="2835"/>
              </w:tabs>
              <w:spacing w:after="0" w:line="240" w:lineRule="auto"/>
              <w:ind w:left="-107"/>
              <w:jc w:val="center"/>
              <w:rPr>
                <w:rFonts w:ascii="Garamond" w:eastAsia="Garamond" w:hAnsi="Garamond" w:cs="Garamond"/>
                <w:noProof/>
                <w:color w:val="000000" w:themeColor="text1"/>
                <w:sz w:val="24"/>
                <w:szCs w:val="24"/>
              </w:rPr>
            </w:pPr>
            <w:r w:rsidRPr="00DB1CEA">
              <w:rPr>
                <w:rFonts w:ascii="Garamond" w:hAnsi="Garamond"/>
                <w:noProof/>
                <w:color w:val="000000" w:themeColor="text1"/>
                <w:sz w:val="24"/>
                <w:szCs w:val="24"/>
              </w:rPr>
              <w:drawing>
                <wp:inline distT="0" distB="0" distL="0" distR="0" wp14:anchorId="72D33071" wp14:editId="12227167">
                  <wp:extent cx="818707" cy="318865"/>
                  <wp:effectExtent l="0" t="0" r="635"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18707" cy="318865"/>
                          </a:xfrm>
                          <a:prstGeom prst="rect">
                            <a:avLst/>
                          </a:prstGeom>
                        </pic:spPr>
                      </pic:pic>
                    </a:graphicData>
                  </a:graphic>
                </wp:inline>
              </w:drawing>
            </w:r>
          </w:p>
        </w:tc>
      </w:tr>
      <w:tr w:rsidR="00D54C09" w:rsidRPr="00DB1CEA" w14:paraId="55B74DB3" w14:textId="77777777" w:rsidTr="6F90D69E">
        <w:trPr>
          <w:trHeight w:val="564"/>
        </w:trPr>
        <w:tc>
          <w:tcPr>
            <w:tcW w:w="1574" w:type="dxa"/>
          </w:tcPr>
          <w:p w14:paraId="13F3ED7E" w14:textId="77777777" w:rsidR="009A508E" w:rsidRPr="00DB1CEA" w:rsidRDefault="009A508E" w:rsidP="00477AF6">
            <w:pPr>
              <w:tabs>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hAnsi="Garamond"/>
                <w:b/>
                <w:noProof/>
                <w:color w:val="000000" w:themeColor="text1"/>
                <w:sz w:val="24"/>
                <w:szCs w:val="24"/>
              </w:rPr>
              <w:drawing>
                <wp:inline distT="0" distB="0" distL="0" distR="0" wp14:anchorId="1AC89A6D" wp14:editId="09857AAE">
                  <wp:extent cx="759460" cy="286247"/>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5482"/>
                          <a:stretch/>
                        </pic:blipFill>
                        <pic:spPr bwMode="auto">
                          <a:xfrm>
                            <a:off x="0" y="0"/>
                            <a:ext cx="848264" cy="3197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965" w:type="dxa"/>
          </w:tcPr>
          <w:p w14:paraId="0FEABDD6" w14:textId="77777777" w:rsidR="009A508E" w:rsidRPr="00DB1CEA" w:rsidRDefault="009A508E" w:rsidP="00477AF6">
            <w:pPr>
              <w:tabs>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hAnsi="Garamond"/>
                <w:noProof/>
                <w:color w:val="000000" w:themeColor="text1"/>
                <w:sz w:val="24"/>
                <w:szCs w:val="24"/>
              </w:rPr>
              <w:drawing>
                <wp:inline distT="0" distB="0" distL="0" distR="0" wp14:anchorId="4DDF5A26" wp14:editId="66DB9CFD">
                  <wp:extent cx="1147696" cy="361507"/>
                  <wp:effectExtent l="0" t="0" r="0" b="63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7696" cy="361507"/>
                          </a:xfrm>
                          <a:prstGeom prst="rect">
                            <a:avLst/>
                          </a:prstGeom>
                        </pic:spPr>
                      </pic:pic>
                    </a:graphicData>
                  </a:graphic>
                </wp:inline>
              </w:drawing>
            </w:r>
          </w:p>
        </w:tc>
        <w:tc>
          <w:tcPr>
            <w:tcW w:w="2060" w:type="dxa"/>
          </w:tcPr>
          <w:p w14:paraId="3B818406" w14:textId="77777777" w:rsidR="009A508E" w:rsidRPr="00DB1CEA" w:rsidRDefault="009A508E" w:rsidP="00477AF6">
            <w:pPr>
              <w:tabs>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hAnsi="Garamond"/>
                <w:b/>
                <w:noProof/>
                <w:color w:val="000000" w:themeColor="text1"/>
                <w:sz w:val="24"/>
                <w:szCs w:val="24"/>
              </w:rPr>
              <w:drawing>
                <wp:inline distT="0" distB="0" distL="0" distR="0" wp14:anchorId="60AA1C3E" wp14:editId="790A5CDF">
                  <wp:extent cx="1129174" cy="244548"/>
                  <wp:effectExtent l="0" t="0" r="0" b="317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 b="20671"/>
                          <a:stretch/>
                        </pic:blipFill>
                        <pic:spPr bwMode="auto">
                          <a:xfrm>
                            <a:off x="0" y="0"/>
                            <a:ext cx="1174540" cy="2543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463" w:type="dxa"/>
          </w:tcPr>
          <w:p w14:paraId="72B2A661" w14:textId="77777777" w:rsidR="009A508E" w:rsidRPr="00DB1CEA" w:rsidRDefault="009A508E" w:rsidP="00477AF6">
            <w:pPr>
              <w:tabs>
                <w:tab w:val="left" w:pos="2835"/>
              </w:tabs>
              <w:spacing w:after="0" w:line="240" w:lineRule="auto"/>
              <w:ind w:left="-107"/>
              <w:jc w:val="center"/>
              <w:rPr>
                <w:rFonts w:ascii="Garamond" w:eastAsia="Garamond" w:hAnsi="Garamond" w:cs="Garamond"/>
                <w:noProof/>
                <w:color w:val="000000" w:themeColor="text1"/>
                <w:sz w:val="24"/>
                <w:szCs w:val="24"/>
              </w:rPr>
            </w:pPr>
            <w:r w:rsidRPr="00DB1CEA">
              <w:rPr>
                <w:rFonts w:ascii="Garamond" w:hAnsi="Garamond"/>
                <w:noProof/>
                <w:color w:val="000000" w:themeColor="text1"/>
                <w:sz w:val="24"/>
                <w:szCs w:val="24"/>
              </w:rPr>
              <w:drawing>
                <wp:inline distT="0" distB="0" distL="0" distR="0" wp14:anchorId="1D99DBDD" wp14:editId="76793BC4">
                  <wp:extent cx="723013" cy="309863"/>
                  <wp:effectExtent l="0" t="0" r="127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723013" cy="309863"/>
                          </a:xfrm>
                          <a:prstGeom prst="rect">
                            <a:avLst/>
                          </a:prstGeom>
                        </pic:spPr>
                      </pic:pic>
                    </a:graphicData>
                  </a:graphic>
                </wp:inline>
              </w:drawing>
            </w:r>
          </w:p>
        </w:tc>
        <w:tc>
          <w:tcPr>
            <w:tcW w:w="1776" w:type="dxa"/>
          </w:tcPr>
          <w:p w14:paraId="263CA4BC" w14:textId="142F0762" w:rsidR="009A508E" w:rsidRPr="00DB1CEA" w:rsidRDefault="009A508E" w:rsidP="00477AF6">
            <w:pPr>
              <w:tabs>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hAnsi="Garamond"/>
                <w:noProof/>
                <w:color w:val="000000" w:themeColor="text1"/>
                <w:sz w:val="24"/>
                <w:szCs w:val="24"/>
              </w:rPr>
              <w:drawing>
                <wp:inline distT="0" distB="0" distL="0" distR="0" wp14:anchorId="6B3AF019" wp14:editId="6034DBA8">
                  <wp:extent cx="907332" cy="244549"/>
                  <wp:effectExtent l="0" t="0" r="7620"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07332" cy="244549"/>
                          </a:xfrm>
                          <a:prstGeom prst="rect">
                            <a:avLst/>
                          </a:prstGeom>
                        </pic:spPr>
                      </pic:pic>
                    </a:graphicData>
                  </a:graphic>
                </wp:inline>
              </w:drawing>
            </w:r>
          </w:p>
        </w:tc>
      </w:tr>
      <w:tr w:rsidR="00D54C09" w:rsidRPr="00DB1CEA" w14:paraId="268A4071" w14:textId="77777777" w:rsidTr="00352CAB">
        <w:trPr>
          <w:trHeight w:val="198"/>
        </w:trPr>
        <w:tc>
          <w:tcPr>
            <w:tcW w:w="1574" w:type="dxa"/>
          </w:tcPr>
          <w:p w14:paraId="2DFA967C" w14:textId="01770952" w:rsidR="009A508E" w:rsidRPr="00DB1CEA" w:rsidRDefault="009A508E" w:rsidP="00477AF6">
            <w:pPr>
              <w:tabs>
                <w:tab w:val="center" w:pos="625"/>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hAnsi="Garamond"/>
                <w:b/>
                <w:noProof/>
                <w:color w:val="000000" w:themeColor="text1"/>
                <w:sz w:val="24"/>
                <w:szCs w:val="24"/>
              </w:rPr>
              <w:drawing>
                <wp:inline distT="0" distB="0" distL="0" distR="0" wp14:anchorId="4DCC6344" wp14:editId="0AF1B3E0">
                  <wp:extent cx="389614" cy="38961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98236" cy="398236"/>
                          </a:xfrm>
                          <a:prstGeom prst="rect">
                            <a:avLst/>
                          </a:prstGeom>
                          <a:noFill/>
                          <a:ln>
                            <a:noFill/>
                          </a:ln>
                        </pic:spPr>
                      </pic:pic>
                    </a:graphicData>
                  </a:graphic>
                </wp:inline>
              </w:drawing>
            </w:r>
          </w:p>
        </w:tc>
        <w:tc>
          <w:tcPr>
            <w:tcW w:w="1965" w:type="dxa"/>
          </w:tcPr>
          <w:p w14:paraId="016BE027" w14:textId="28085D8B" w:rsidR="009A508E" w:rsidRPr="00DB1CEA" w:rsidRDefault="009A508E" w:rsidP="00477AF6">
            <w:pPr>
              <w:tabs>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hAnsi="Garamond"/>
                <w:noProof/>
                <w:color w:val="000000" w:themeColor="text1"/>
                <w:sz w:val="24"/>
                <w:szCs w:val="24"/>
              </w:rPr>
              <w:drawing>
                <wp:inline distT="0" distB="0" distL="0" distR="0" wp14:anchorId="0D280F42" wp14:editId="19F82875">
                  <wp:extent cx="601732" cy="390489"/>
                  <wp:effectExtent l="0" t="0" r="0" b="0"/>
                  <wp:docPr id="5" name="Picture 5" descr="Crossref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01732" cy="390489"/>
                          </a:xfrm>
                          <a:prstGeom prst="rect">
                            <a:avLst/>
                          </a:prstGeom>
                        </pic:spPr>
                      </pic:pic>
                    </a:graphicData>
                  </a:graphic>
                </wp:inline>
              </w:drawing>
            </w:r>
          </w:p>
        </w:tc>
        <w:tc>
          <w:tcPr>
            <w:tcW w:w="2060" w:type="dxa"/>
          </w:tcPr>
          <w:p w14:paraId="2282E820" w14:textId="33C2D1C3" w:rsidR="009A508E" w:rsidRPr="00DB1CEA" w:rsidRDefault="009A508E" w:rsidP="00477AF6">
            <w:pPr>
              <w:tabs>
                <w:tab w:val="left" w:pos="2835"/>
              </w:tabs>
              <w:spacing w:after="0" w:line="240" w:lineRule="auto"/>
              <w:ind w:left="-107" w:hanging="16"/>
              <w:jc w:val="center"/>
              <w:rPr>
                <w:rFonts w:ascii="Garamond" w:eastAsia="Garamond" w:hAnsi="Garamond" w:cs="Garamond"/>
                <w:b/>
                <w:bCs/>
                <w:noProof/>
                <w:color w:val="000000" w:themeColor="text1"/>
                <w:sz w:val="24"/>
                <w:szCs w:val="24"/>
              </w:rPr>
            </w:pPr>
            <w:r w:rsidRPr="00DB1CEA">
              <w:rPr>
                <w:rFonts w:ascii="Garamond" w:hAnsi="Garamond"/>
                <w:noProof/>
                <w:color w:val="000000" w:themeColor="text1"/>
                <w:sz w:val="24"/>
                <w:szCs w:val="24"/>
              </w:rPr>
              <w:drawing>
                <wp:inline distT="0" distB="0" distL="0" distR="0" wp14:anchorId="4818C82D" wp14:editId="79ADC1FE">
                  <wp:extent cx="1170940" cy="389255"/>
                  <wp:effectExtent l="0" t="0" r="0" b="0"/>
                  <wp:docPr id="6" name="Picture 6" descr="ResearchGate - find and share research – Tele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170940" cy="389255"/>
                          </a:xfrm>
                          <a:prstGeom prst="rect">
                            <a:avLst/>
                          </a:prstGeom>
                        </pic:spPr>
                      </pic:pic>
                    </a:graphicData>
                  </a:graphic>
                </wp:inline>
              </w:drawing>
            </w:r>
          </w:p>
        </w:tc>
        <w:tc>
          <w:tcPr>
            <w:tcW w:w="1463" w:type="dxa"/>
          </w:tcPr>
          <w:p w14:paraId="130FD0B2" w14:textId="13018340" w:rsidR="009A508E" w:rsidRPr="00DB1CEA" w:rsidRDefault="009A508E" w:rsidP="00477AF6">
            <w:pPr>
              <w:tabs>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hAnsi="Garamond"/>
                <w:noProof/>
                <w:color w:val="000000" w:themeColor="text1"/>
                <w:sz w:val="24"/>
                <w:szCs w:val="24"/>
              </w:rPr>
              <w:drawing>
                <wp:inline distT="0" distB="0" distL="0" distR="0" wp14:anchorId="5EEE87AF" wp14:editId="60B20D82">
                  <wp:extent cx="791845" cy="331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91845" cy="331470"/>
                          </a:xfrm>
                          <a:prstGeom prst="rect">
                            <a:avLst/>
                          </a:prstGeom>
                        </pic:spPr>
                      </pic:pic>
                    </a:graphicData>
                  </a:graphic>
                </wp:inline>
              </w:drawing>
            </w:r>
          </w:p>
        </w:tc>
        <w:tc>
          <w:tcPr>
            <w:tcW w:w="1776" w:type="dxa"/>
          </w:tcPr>
          <w:p w14:paraId="3554B07C" w14:textId="0C91470E" w:rsidR="009A508E" w:rsidRPr="00DB1CEA" w:rsidRDefault="004E25B0" w:rsidP="00477AF6">
            <w:pPr>
              <w:tabs>
                <w:tab w:val="left" w:pos="2835"/>
              </w:tabs>
              <w:spacing w:after="0" w:line="240" w:lineRule="auto"/>
              <w:ind w:left="-107"/>
              <w:jc w:val="center"/>
              <w:rPr>
                <w:rFonts w:ascii="Garamond" w:eastAsia="Garamond" w:hAnsi="Garamond" w:cs="Garamond"/>
                <w:b/>
                <w:bCs/>
                <w:noProof/>
                <w:color w:val="000000" w:themeColor="text1"/>
                <w:sz w:val="24"/>
                <w:szCs w:val="24"/>
              </w:rPr>
            </w:pPr>
            <w:r w:rsidRPr="00DB1CEA">
              <w:rPr>
                <w:rFonts w:ascii="Garamond" w:eastAsia="Garamond" w:hAnsi="Garamond" w:cs="Garamond"/>
                <w:b/>
                <w:bCs/>
                <w:noProof/>
                <w:color w:val="000000" w:themeColor="text1"/>
                <w:sz w:val="24"/>
                <w:szCs w:val="24"/>
              </w:rPr>
              <w:drawing>
                <wp:inline distT="0" distB="0" distL="0" distR="0" wp14:anchorId="5129A81D" wp14:editId="7D2BCED6">
                  <wp:extent cx="406854" cy="438150"/>
                  <wp:effectExtent l="0" t="0" r="0" b="0"/>
                  <wp:docPr id="142824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12606" cy="444345"/>
                          </a:xfrm>
                          <a:prstGeom prst="rect">
                            <a:avLst/>
                          </a:prstGeom>
                          <a:noFill/>
                          <a:ln>
                            <a:noFill/>
                          </a:ln>
                        </pic:spPr>
                      </pic:pic>
                    </a:graphicData>
                  </a:graphic>
                </wp:inline>
              </w:drawing>
            </w:r>
          </w:p>
        </w:tc>
      </w:tr>
      <w:bookmarkEnd w:id="1"/>
    </w:tbl>
    <w:p w14:paraId="185AFD2D" w14:textId="77777777" w:rsidR="00477AF6" w:rsidRPr="00DB1CEA" w:rsidRDefault="00477AF6" w:rsidP="00477AF6">
      <w:pPr>
        <w:spacing w:after="0" w:line="240" w:lineRule="auto"/>
        <w:jc w:val="both"/>
        <w:outlineLvl w:val="0"/>
        <w:rPr>
          <w:rFonts w:ascii="Garamond" w:eastAsia="Garamond" w:hAnsi="Garamond" w:cs="Garamond"/>
          <w:b/>
          <w:bCs/>
          <w:color w:val="000000" w:themeColor="text1"/>
          <w:sz w:val="24"/>
          <w:szCs w:val="24"/>
        </w:rPr>
        <w:sectPr w:rsidR="00477AF6" w:rsidRPr="00DB1CEA" w:rsidSect="00686C3F">
          <w:headerReference w:type="default" r:id="rId26"/>
          <w:footerReference w:type="default" r:id="rId27"/>
          <w:pgSz w:w="10800" w:h="13536"/>
          <w:pgMar w:top="0" w:right="547" w:bottom="274" w:left="1440" w:header="0" w:footer="0" w:gutter="0"/>
          <w:pgNumType w:start="444"/>
          <w:cols w:space="720"/>
          <w:docGrid w:linePitch="360"/>
        </w:sectPr>
      </w:pPr>
    </w:p>
    <w:p w14:paraId="2EDAFD08" w14:textId="0B4B1CD4" w:rsidR="00ED6A54" w:rsidRPr="00DB1CEA" w:rsidRDefault="6F90D69E" w:rsidP="00477AF6">
      <w:pPr>
        <w:spacing w:after="0" w:line="240" w:lineRule="auto"/>
        <w:jc w:val="both"/>
        <w:outlineLvl w:val="0"/>
        <w:rPr>
          <w:rFonts w:ascii="Garamond" w:eastAsia="Garamond" w:hAnsi="Garamond" w:cs="Garamond"/>
          <w:b/>
          <w:bCs/>
          <w:color w:val="000000" w:themeColor="text1"/>
          <w:sz w:val="24"/>
          <w:szCs w:val="24"/>
        </w:rPr>
      </w:pPr>
      <w:r w:rsidRPr="00DB1CEA">
        <w:rPr>
          <w:rFonts w:ascii="Garamond" w:eastAsia="Garamond" w:hAnsi="Garamond" w:cs="Garamond"/>
          <w:b/>
          <w:bCs/>
          <w:color w:val="000000" w:themeColor="text1"/>
          <w:sz w:val="24"/>
          <w:szCs w:val="24"/>
        </w:rPr>
        <w:lastRenderedPageBreak/>
        <w:t>Introduction:</w:t>
      </w:r>
    </w:p>
    <w:p w14:paraId="635211C9" w14:textId="5D5E63A2" w:rsidR="0080208A" w:rsidRPr="00DB1CEA" w:rsidRDefault="0080208A" w:rsidP="0080208A">
      <w:pPr>
        <w:spacing w:after="0" w:line="240" w:lineRule="auto"/>
        <w:ind w:firstLine="720"/>
        <w:jc w:val="both"/>
        <w:rPr>
          <w:rFonts w:ascii="Garamond" w:hAnsi="Garamond" w:cs="Times New Roman"/>
          <w:color w:val="000000" w:themeColor="text1"/>
          <w:sz w:val="24"/>
          <w:szCs w:val="24"/>
        </w:rPr>
      </w:pPr>
      <w:r w:rsidRPr="00DB1CEA">
        <w:rPr>
          <w:rFonts w:ascii="Garamond" w:hAnsi="Garamond" w:cs="Times New Roman"/>
          <w:color w:val="000000" w:themeColor="text1"/>
          <w:sz w:val="24"/>
          <w:szCs w:val="24"/>
        </w:rPr>
        <w:t>Tuberculosis (TB) is a contagious disease caused by the bacterium *Mycobacterium tuberculosis* and spreads through the air when an infected person coughs or sneezes [1]. It is a leading cause of death and ill health globally, predominantly affecting the lungs of adult males [2][29]. Despite its severity, TB is curable and controllable with a 6-month drug regimen and proper access to treatment through universal health coverage [3]. Since 1997, the World Health Organization (WHO) has been publishing annual data on TB cases to raise awareness and report progress at global, regional, and national levels as part of their commitment to TB strategies and targets [4]. Pakistan, the sixth most populous country in the world with over 200 million people [5], faces significant challenges in its healthcare system. Many citizens have limited access to quality medical services [6]. TB remains a major public health issue in Pakistan [7]. According to the WHO's 2014 report, Pakistan had the third highest number of TB cases in 2013, with a rate of 342 cases per 100,000 population. In 2014, there were 298,446 reported cases of TB [8].</w:t>
      </w:r>
    </w:p>
    <w:p w14:paraId="1D9BA351" w14:textId="77777777" w:rsidR="0080208A" w:rsidRPr="00DB1CEA" w:rsidRDefault="0080208A" w:rsidP="0080208A">
      <w:pPr>
        <w:spacing w:after="0" w:line="240" w:lineRule="auto"/>
        <w:ind w:firstLine="720"/>
        <w:jc w:val="both"/>
        <w:rPr>
          <w:rFonts w:ascii="Garamond" w:hAnsi="Garamond" w:cs="Times New Roman"/>
          <w:color w:val="000000" w:themeColor="text1"/>
          <w:sz w:val="24"/>
          <w:szCs w:val="24"/>
        </w:rPr>
      </w:pPr>
      <w:r w:rsidRPr="00DB1CEA">
        <w:rPr>
          <w:rFonts w:ascii="Garamond" w:hAnsi="Garamond" w:cs="Times New Roman"/>
          <w:color w:val="000000" w:themeColor="text1"/>
          <w:sz w:val="24"/>
          <w:szCs w:val="24"/>
        </w:rPr>
        <w:t>In response to this high incidence, the Pakistani government established the National Tuberculosis Control Program to manage and reduce TB rates [9]. All TB cases are recorded and registered, with routine check-ups and diagnoses conducted to identify patients [10]. However, data on TB cases in the private sector are not consistently registered, complicating disease monitoring and patient treatment [11]. Additionally, according to [12], much data about diagnosed TB patients is lost, and some patients may not be diagnosed until symptoms are severe, resulting in incomplete registration [13]. The WHO reported a TB mortality rate of 23 per 100,000 population in Pakistan for 2015, the fifth highest globally [14]. In that year, 323,856 TB cases were reported, with an estimated 63% actual occurrence rate, and 32% of these cases were officially registered.</w:t>
      </w:r>
    </w:p>
    <w:p w14:paraId="5324EBAA" w14:textId="39A836AC" w:rsidR="00BF18D0" w:rsidRPr="00DB1CEA" w:rsidRDefault="0080208A" w:rsidP="0080208A">
      <w:pPr>
        <w:spacing w:after="0" w:line="240" w:lineRule="auto"/>
        <w:ind w:firstLine="720"/>
        <w:jc w:val="both"/>
        <w:rPr>
          <w:rFonts w:ascii="Garamond" w:hAnsi="Garamond" w:cs="Times New Roman"/>
          <w:color w:val="000000" w:themeColor="text1"/>
          <w:sz w:val="24"/>
          <w:szCs w:val="24"/>
        </w:rPr>
      </w:pPr>
      <w:r w:rsidRPr="00DB1CEA">
        <w:rPr>
          <w:rFonts w:ascii="Garamond" w:hAnsi="Garamond" w:cs="Times New Roman"/>
          <w:color w:val="000000" w:themeColor="text1"/>
          <w:sz w:val="24"/>
          <w:szCs w:val="24"/>
        </w:rPr>
        <w:t>To tackle this issue, the WHO has implemented a comprehensive TB elimination strategy, urging all countries to act against TB [15]. This includes improving access to quality medical services and treatment, ensuring accurate diagnosis and registration of patients, and monitoring disease spread through regular data collection [15]. Despite these efforts, a significant number of TB cases in Pakistan remain unreported [16]. In 2015, approximately 180,000 TB patients were estimated to have gone unreported, representing nearly 5% of the global total [17]. The Pakistani government must enhance its TB control program to ensure proper diagnosis, registration, and treatment for all TB patients [18]. This involves increasing funding for the National Tuberculosis Control Program, providing training for healthcare workers, and improving the quality of medical services nationwide.</w:t>
      </w:r>
    </w:p>
    <w:p w14:paraId="058E7C66" w14:textId="622F7EEB" w:rsidR="00E450F3" w:rsidRPr="00DB1CEA" w:rsidRDefault="00E450F3" w:rsidP="00DB4C7F">
      <w:pPr>
        <w:spacing w:after="0" w:line="240" w:lineRule="auto"/>
        <w:jc w:val="both"/>
        <w:rPr>
          <w:rFonts w:ascii="Garamond" w:hAnsi="Garamond" w:cs="Times New Roman"/>
          <w:b/>
          <w:color w:val="000000" w:themeColor="text1"/>
          <w:sz w:val="24"/>
          <w:szCs w:val="24"/>
        </w:rPr>
      </w:pPr>
      <w:r w:rsidRPr="00DB1CEA">
        <w:rPr>
          <w:rFonts w:ascii="Garamond" w:hAnsi="Garamond" w:cs="Times New Roman"/>
          <w:b/>
          <w:color w:val="000000" w:themeColor="text1"/>
          <w:sz w:val="24"/>
          <w:szCs w:val="24"/>
        </w:rPr>
        <w:t>Material and Methods:</w:t>
      </w:r>
    </w:p>
    <w:p w14:paraId="46470D40" w14:textId="119A74B2" w:rsidR="00E450F3" w:rsidRPr="00DB1CEA" w:rsidRDefault="00E450F3" w:rsidP="00DB4C7F">
      <w:pPr>
        <w:spacing w:after="0" w:line="240" w:lineRule="auto"/>
        <w:jc w:val="both"/>
        <w:rPr>
          <w:rFonts w:ascii="Garamond" w:hAnsi="Garamond" w:cs="Times New Roman"/>
          <w:b/>
          <w:color w:val="000000" w:themeColor="text1"/>
          <w:sz w:val="24"/>
          <w:szCs w:val="24"/>
        </w:rPr>
      </w:pPr>
      <w:r w:rsidRPr="00DB1CEA">
        <w:rPr>
          <w:rFonts w:ascii="Garamond" w:hAnsi="Garamond" w:cs="Times New Roman"/>
          <w:b/>
          <w:color w:val="000000" w:themeColor="text1"/>
          <w:sz w:val="24"/>
          <w:szCs w:val="24"/>
        </w:rPr>
        <w:t>Study Area:</w:t>
      </w:r>
    </w:p>
    <w:p w14:paraId="1DB2B6C5" w14:textId="73FADE11" w:rsidR="00E450F3" w:rsidRDefault="002F22A2" w:rsidP="00DB4C7F">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In recent years, Gujranwala has experienced significant growth in both population and infrastructure [19]. The city has been expanding continuously, with new commercial centers, housing developments, and public amenities emerging to accommodate its growing population [20]. Well-connected to other major cities in Pakistan, Gujranwala has become a prominent hub for trade and commerce [21]. Additionally, the city boasts a rich cultural heritage, evident in its numerous historical sites, monuments, and buildings scattered throughout [22].</w:t>
      </w:r>
    </w:p>
    <w:p w14:paraId="5471C6C6" w14:textId="77777777" w:rsidR="000302BC" w:rsidRPr="00DB1CEA" w:rsidRDefault="000302BC" w:rsidP="000302BC">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One of the major challenges that Gujranwala is facing today is the issue of healthcare. Despite being one of the largest cities in Pakistan, Gujranwala still lacks adequate healthcare facilities, impacting the city's overall health. The city struggles with numerous health issues, including communicable diseases such as Tuberculosis (TB), which remains a major public health concern [23]. According to World Health Organization (WHO) reports, Pakistan has one of the highest rates of TB globally, and Gujranwala is no exception [24].</w:t>
      </w:r>
    </w:p>
    <w:p w14:paraId="2BE38F7E" w14:textId="77777777" w:rsidR="000302BC" w:rsidRPr="00DB1CEA" w:rsidRDefault="000302BC" w:rsidP="000302BC">
      <w:pPr>
        <w:spacing w:after="0" w:line="240" w:lineRule="auto"/>
        <w:jc w:val="both"/>
        <w:rPr>
          <w:rFonts w:ascii="Garamond" w:hAnsi="Garamond"/>
          <w:b/>
          <w:bCs/>
          <w:color w:val="000000" w:themeColor="text1"/>
          <w:sz w:val="24"/>
          <w:szCs w:val="24"/>
        </w:rPr>
      </w:pPr>
      <w:r w:rsidRPr="00DB1CEA">
        <w:rPr>
          <w:rFonts w:ascii="Garamond" w:hAnsi="Garamond"/>
          <w:b/>
          <w:bCs/>
          <w:color w:val="000000" w:themeColor="text1"/>
          <w:sz w:val="24"/>
          <w:szCs w:val="24"/>
        </w:rPr>
        <w:t>Research Design and Sample Size:</w:t>
      </w:r>
    </w:p>
    <w:p w14:paraId="717FF1F2" w14:textId="5404AE63" w:rsidR="000302BC" w:rsidRPr="00DB1CEA" w:rsidRDefault="000302BC" w:rsidP="000302BC">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 xml:space="preserve">Data for this research was collected from two sources: primary data through face-to-face interviews using an open-ended and close-ended questionnaire, and secondary data from the </w:t>
      </w:r>
      <w:r w:rsidRPr="00DB1CEA">
        <w:rPr>
          <w:rFonts w:ascii="Garamond" w:hAnsi="Garamond"/>
          <w:color w:val="000000" w:themeColor="text1"/>
          <w:sz w:val="24"/>
          <w:szCs w:val="24"/>
        </w:rPr>
        <w:lastRenderedPageBreak/>
        <w:t>DHQ Civil Hospital of Gujranwala. The questionnaire included 26 questions and 74 variables, covering aspects such as basic information, ecology, socioeconomic and demographic factors, diet, diagnosis, and awareness of TB. Primary data was gathered from DHQ and private TB diagnostic centers, while secondary data was sourced from the DHQ Civil Hospital over a four-year period (2015-2018). A sample size of 400 was selected from a population of 259,556, with a 95% confidence level and a 5% confidence interval. Data collection spanned one month, with data entered into Microsoft Excel and analyzed using SPSS version 20.</w:t>
      </w:r>
    </w:p>
    <w:p w14:paraId="6C1A6307" w14:textId="06F328FE" w:rsidR="00E450F3" w:rsidRPr="00DB1CEA" w:rsidRDefault="009953DC" w:rsidP="00DB4C7F">
      <w:pPr>
        <w:spacing w:after="0" w:line="240" w:lineRule="auto"/>
        <w:jc w:val="center"/>
        <w:rPr>
          <w:rFonts w:ascii="Garamond" w:hAnsi="Garamond"/>
          <w:color w:val="000000" w:themeColor="text1"/>
          <w:sz w:val="24"/>
          <w:szCs w:val="24"/>
        </w:rPr>
      </w:pPr>
      <w:r w:rsidRPr="00DB1CEA">
        <w:rPr>
          <w:rFonts w:ascii="Garamond" w:hAnsi="Garamond" w:cs="Times New Roman"/>
          <w:noProof/>
          <w:color w:val="000000" w:themeColor="text1"/>
          <w:sz w:val="24"/>
          <w:szCs w:val="24"/>
        </w:rPr>
        <w:drawing>
          <wp:inline distT="0" distB="0" distL="0" distR="0" wp14:anchorId="39784010" wp14:editId="4B6AD19C">
            <wp:extent cx="5385029" cy="3554403"/>
            <wp:effectExtent l="19050" t="19050" r="25400" b="27305"/>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a:extLst>
                        <a:ext uri="{28A0092B-C50C-407E-A947-70E740481C1C}">
                          <a14:useLocalDpi xmlns:a14="http://schemas.microsoft.com/office/drawing/2010/main" val="0"/>
                        </a:ext>
                      </a:extLst>
                    </a:blip>
                    <a:srcRect l="3869" t="3571" r="2026" b="5705"/>
                    <a:stretch/>
                  </pic:blipFill>
                  <pic:spPr bwMode="auto">
                    <a:xfrm>
                      <a:off x="0" y="0"/>
                      <a:ext cx="5449595" cy="359702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069DBED" w14:textId="77777777" w:rsidR="00E450F3" w:rsidRPr="00DB1CEA" w:rsidRDefault="00E450F3" w:rsidP="00DB4C7F">
      <w:pPr>
        <w:spacing w:after="0" w:line="240" w:lineRule="auto"/>
        <w:jc w:val="center"/>
        <w:rPr>
          <w:rFonts w:ascii="Garamond" w:hAnsi="Garamond"/>
          <w:color w:val="000000" w:themeColor="text1"/>
          <w:sz w:val="24"/>
          <w:szCs w:val="24"/>
        </w:rPr>
      </w:pPr>
      <w:r w:rsidRPr="00DB1CEA">
        <w:rPr>
          <w:rFonts w:ascii="Garamond" w:hAnsi="Garamond"/>
          <w:b/>
          <w:bCs/>
          <w:color w:val="000000" w:themeColor="text1"/>
          <w:sz w:val="24"/>
          <w:szCs w:val="24"/>
        </w:rPr>
        <w:t>Figure 1:</w:t>
      </w:r>
      <w:r w:rsidRPr="00DB1CEA">
        <w:rPr>
          <w:rFonts w:ascii="Garamond" w:hAnsi="Garamond"/>
          <w:color w:val="000000" w:themeColor="text1"/>
          <w:sz w:val="24"/>
          <w:szCs w:val="24"/>
        </w:rPr>
        <w:t xml:space="preserve"> Study Area-Gujranwala city</w:t>
      </w:r>
    </w:p>
    <w:p w14:paraId="18B7AC40" w14:textId="636AF47B" w:rsidR="00A0412D" w:rsidRPr="00DB1CEA" w:rsidRDefault="00A0412D" w:rsidP="00A0412D">
      <w:pPr>
        <w:spacing w:after="0" w:line="240" w:lineRule="auto"/>
        <w:jc w:val="both"/>
        <w:rPr>
          <w:rFonts w:ascii="Garamond" w:hAnsi="Garamond"/>
          <w:b/>
          <w:bCs/>
          <w:color w:val="000000" w:themeColor="text1"/>
          <w:sz w:val="24"/>
          <w:szCs w:val="24"/>
        </w:rPr>
      </w:pPr>
      <w:r w:rsidRPr="00DB1CEA">
        <w:rPr>
          <w:rFonts w:ascii="Garamond" w:hAnsi="Garamond"/>
          <w:b/>
          <w:bCs/>
          <w:color w:val="000000" w:themeColor="text1"/>
          <w:sz w:val="24"/>
          <w:szCs w:val="24"/>
        </w:rPr>
        <w:t>Characteristics of Variables:</w:t>
      </w:r>
    </w:p>
    <w:p w14:paraId="5957C91F" w14:textId="77777777" w:rsidR="00A0412D" w:rsidRPr="00DB1CEA" w:rsidRDefault="00A0412D" w:rsidP="00A0412D">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The research aimed to explore the relationship between tuberculosis and various socioeconomic and environmental factors, including poverty, education, housing conditions, diet, and awareness. Data was collected from 400 patients through face-to-face interviews. Analysis with SPSS version 20 indicated that poverty, illiteracy, and poor living conditions significantly contribute to the spread of tuberculosis. Individuals in low-income areas with inadequate housing, limited education, and low disease awareness are more susceptible to TB [25]. Additionally, smoking emerged as a significant risk factor in developing countries. The study underscores the importance of addressing these socio-economic and environmental factors for effective TB prevention and control.</w:t>
      </w:r>
    </w:p>
    <w:p w14:paraId="790A2369" w14:textId="7AAC60CC" w:rsidR="00A0412D" w:rsidRPr="00DB1CEA" w:rsidRDefault="00A0412D" w:rsidP="00A0412D">
      <w:pPr>
        <w:spacing w:after="0" w:line="240" w:lineRule="auto"/>
        <w:jc w:val="both"/>
        <w:rPr>
          <w:rFonts w:ascii="Garamond" w:hAnsi="Garamond"/>
          <w:b/>
          <w:bCs/>
          <w:color w:val="000000" w:themeColor="text1"/>
          <w:sz w:val="24"/>
          <w:szCs w:val="24"/>
        </w:rPr>
      </w:pPr>
      <w:r w:rsidRPr="00DB1CEA">
        <w:rPr>
          <w:rFonts w:ascii="Garamond" w:hAnsi="Garamond"/>
          <w:b/>
          <w:bCs/>
          <w:color w:val="000000" w:themeColor="text1"/>
          <w:sz w:val="24"/>
          <w:szCs w:val="24"/>
        </w:rPr>
        <w:t>Data Collection and Analysis:</w:t>
      </w:r>
    </w:p>
    <w:p w14:paraId="14FD73B9" w14:textId="77777777" w:rsidR="00A0412D" w:rsidRPr="00DB1CEA" w:rsidRDefault="00A0412D" w:rsidP="00A0412D">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Data was gathered from DHQ and TB clinic centers in Gujranwala to assess the impact of various factors on tuberculosis in the city. Collected data included information on patients, socioeconomic factors, ecological factors, diet, and diagnosis. Principal Component Analysis (PCA) and GIS software tools were employed for data analysis [26]. GIS played a crucial role in identifying hotspot areas and spatial distribution of TB patients. The questionnaire included open-ended questions to thoroughly explore patients' experiences and opinions. Remote sensing was utilized to analyze urbanization trends in Gujranwala, and GIS mapped hospitals, health facilities, and TB patient distribution for 2017, 2018, and post-primary data collection analysis [27].</w:t>
      </w:r>
    </w:p>
    <w:p w14:paraId="58924F76" w14:textId="77777777" w:rsidR="000302BC" w:rsidRDefault="000302BC">
      <w:pPr>
        <w:rPr>
          <w:rFonts w:ascii="Garamond" w:hAnsi="Garamond"/>
          <w:b/>
          <w:bCs/>
          <w:color w:val="000000" w:themeColor="text1"/>
          <w:sz w:val="24"/>
          <w:szCs w:val="24"/>
        </w:rPr>
      </w:pPr>
      <w:r>
        <w:rPr>
          <w:rFonts w:ascii="Garamond" w:hAnsi="Garamond"/>
          <w:b/>
          <w:bCs/>
          <w:color w:val="000000" w:themeColor="text1"/>
          <w:sz w:val="24"/>
          <w:szCs w:val="24"/>
        </w:rPr>
        <w:br w:type="page"/>
      </w:r>
    </w:p>
    <w:p w14:paraId="62C3E434" w14:textId="5BF81D8B" w:rsidR="00A0412D" w:rsidRPr="00DB1CEA" w:rsidRDefault="00A0412D" w:rsidP="00A0412D">
      <w:pPr>
        <w:spacing w:after="0" w:line="240" w:lineRule="auto"/>
        <w:jc w:val="both"/>
        <w:rPr>
          <w:rFonts w:ascii="Garamond" w:hAnsi="Garamond"/>
          <w:b/>
          <w:bCs/>
          <w:color w:val="000000" w:themeColor="text1"/>
          <w:sz w:val="24"/>
          <w:szCs w:val="24"/>
        </w:rPr>
      </w:pPr>
      <w:r w:rsidRPr="00DB1CEA">
        <w:rPr>
          <w:rFonts w:ascii="Garamond" w:hAnsi="Garamond"/>
          <w:b/>
          <w:bCs/>
          <w:color w:val="000000" w:themeColor="text1"/>
          <w:sz w:val="24"/>
          <w:szCs w:val="24"/>
        </w:rPr>
        <w:lastRenderedPageBreak/>
        <w:t>Results and Discussion:</w:t>
      </w:r>
    </w:p>
    <w:p w14:paraId="7A3C7A80" w14:textId="1016955B" w:rsidR="00BF18D0" w:rsidRPr="00DB1CEA" w:rsidRDefault="00A0412D" w:rsidP="00A0412D">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PCA was applied to the primary data collected through the questionnaire with 74 variables [28]. This analysis aimed to evaluate the quality of life of patients from a cause-and-effect perspective. The PCA results identified three key factors: Factor I represented the socioeconomic and demographic status, Factor II depicted socioeconomic and ecological status, and Factor III related to diet and diagnosis status. The variance of these factors provided insights into their significant impact on patients’ quality of life.</w:t>
      </w:r>
    </w:p>
    <w:p w14:paraId="3D5BB9A5" w14:textId="4FEE0B83" w:rsidR="00E450F3" w:rsidRPr="00DB1CEA" w:rsidRDefault="00E450F3" w:rsidP="00DB4C7F">
      <w:pPr>
        <w:spacing w:after="0" w:line="240" w:lineRule="auto"/>
        <w:jc w:val="center"/>
        <w:rPr>
          <w:rFonts w:ascii="Garamond" w:hAnsi="Garamond"/>
          <w:color w:val="000000" w:themeColor="text1"/>
          <w:sz w:val="24"/>
          <w:szCs w:val="24"/>
        </w:rPr>
      </w:pPr>
      <w:r w:rsidRPr="00DB1CEA">
        <w:rPr>
          <w:rFonts w:ascii="Garamond" w:hAnsi="Garamond" w:cs="Times New Roman"/>
          <w:b/>
          <w:bCs/>
          <w:noProof/>
          <w:color w:val="000000" w:themeColor="text1"/>
          <w:sz w:val="24"/>
          <w:szCs w:val="24"/>
        </w:rPr>
        <w:drawing>
          <wp:inline distT="0" distB="0" distL="0" distR="0" wp14:anchorId="26CBD951" wp14:editId="744877B0">
            <wp:extent cx="5350931" cy="3806845"/>
            <wp:effectExtent l="19050" t="19050" r="21590" b="2222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9">
                      <a:extLst>
                        <a:ext uri="{28A0092B-C50C-407E-A947-70E740481C1C}">
                          <a14:useLocalDpi xmlns:a14="http://schemas.microsoft.com/office/drawing/2010/main" val="0"/>
                        </a:ext>
                      </a:extLst>
                    </a:blip>
                    <a:srcRect l="2535" t="2064" r="2154" b="5884"/>
                    <a:stretch/>
                  </pic:blipFill>
                  <pic:spPr bwMode="auto">
                    <a:xfrm>
                      <a:off x="0" y="0"/>
                      <a:ext cx="5409413" cy="384845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68A69C9" w14:textId="6609AC93" w:rsidR="00E450F3" w:rsidRPr="00DB1CEA" w:rsidRDefault="00E450F3" w:rsidP="00DB4C7F">
      <w:pPr>
        <w:spacing w:after="0" w:line="240" w:lineRule="auto"/>
        <w:jc w:val="center"/>
        <w:rPr>
          <w:rFonts w:ascii="Garamond" w:eastAsiaTheme="majorEastAsia" w:hAnsi="Garamond" w:cs="Times New Roman"/>
          <w:color w:val="000000" w:themeColor="text1"/>
          <w:sz w:val="24"/>
          <w:szCs w:val="24"/>
          <w:lang w:val="en-GB"/>
        </w:rPr>
      </w:pPr>
      <w:r w:rsidRPr="00DB1CEA">
        <w:rPr>
          <w:rFonts w:ascii="Garamond" w:eastAsiaTheme="majorEastAsia" w:hAnsi="Garamond" w:cs="Times New Roman"/>
          <w:b/>
          <w:bCs/>
          <w:color w:val="000000" w:themeColor="text1"/>
          <w:sz w:val="24"/>
          <w:szCs w:val="24"/>
          <w:lang w:val="en-GB"/>
        </w:rPr>
        <w:t>Figure 2</w:t>
      </w:r>
      <w:r w:rsidR="001A0E6B" w:rsidRPr="00DB1CEA">
        <w:rPr>
          <w:rFonts w:ascii="Garamond" w:eastAsiaTheme="majorEastAsia" w:hAnsi="Garamond" w:cs="Times New Roman"/>
          <w:b/>
          <w:bCs/>
          <w:color w:val="000000" w:themeColor="text1"/>
          <w:sz w:val="24"/>
          <w:szCs w:val="24"/>
          <w:lang w:val="en-GB"/>
        </w:rPr>
        <w:t>:</w:t>
      </w:r>
      <w:r w:rsidRPr="00DB1CEA">
        <w:rPr>
          <w:rFonts w:ascii="Garamond" w:eastAsiaTheme="majorEastAsia" w:hAnsi="Garamond" w:cs="Times New Roman"/>
          <w:b/>
          <w:bCs/>
          <w:color w:val="000000" w:themeColor="text1"/>
          <w:sz w:val="24"/>
          <w:szCs w:val="24"/>
          <w:lang w:val="en-GB"/>
        </w:rPr>
        <w:t xml:space="preserve"> </w:t>
      </w:r>
      <w:r w:rsidRPr="00DB1CEA">
        <w:rPr>
          <w:rFonts w:ascii="Garamond" w:eastAsiaTheme="majorEastAsia" w:hAnsi="Garamond" w:cs="Times New Roman"/>
          <w:color w:val="000000" w:themeColor="text1"/>
          <w:sz w:val="24"/>
          <w:szCs w:val="24"/>
          <w:lang w:val="en-GB"/>
        </w:rPr>
        <w:t>Spatial distribution of TB cases in Gujranwala city, 2017</w:t>
      </w:r>
    </w:p>
    <w:p w14:paraId="003D6846" w14:textId="77777777" w:rsidR="00A16E41" w:rsidRPr="00DB1CEA" w:rsidRDefault="00A16E41" w:rsidP="00DB4C7F">
      <w:pPr>
        <w:pStyle w:val="EndNoteBibliography"/>
        <w:spacing w:after="0"/>
        <w:rPr>
          <w:rFonts w:ascii="Garamond" w:eastAsiaTheme="majorEastAsia" w:hAnsi="Garamond"/>
          <w:noProof w:val="0"/>
          <w:color w:val="000000" w:themeColor="text1"/>
          <w:sz w:val="24"/>
          <w:szCs w:val="24"/>
          <w:lang w:val="en-GB"/>
        </w:rPr>
      </w:pPr>
      <w:r w:rsidRPr="00DB1CEA">
        <w:rPr>
          <w:rFonts w:ascii="Garamond" w:hAnsi="Garamond"/>
          <w:b/>
          <w:color w:val="000000" w:themeColor="text1"/>
          <w:sz w:val="24"/>
          <w:szCs w:val="24"/>
        </w:rPr>
        <w:t>Distribution of Tuberculosis in Gujranwala City:</w:t>
      </w:r>
    </w:p>
    <w:p w14:paraId="4ED5F66F" w14:textId="77777777" w:rsidR="00A16E41" w:rsidRPr="00DB1CEA" w:rsidRDefault="00A16E41" w:rsidP="00DB4C7F">
      <w:pPr>
        <w:pStyle w:val="EndNoteBibliography"/>
        <w:spacing w:after="0"/>
        <w:rPr>
          <w:rFonts w:ascii="Garamond" w:eastAsiaTheme="majorEastAsia" w:hAnsi="Garamond"/>
          <w:noProof w:val="0"/>
          <w:color w:val="000000" w:themeColor="text1"/>
          <w:sz w:val="24"/>
          <w:szCs w:val="24"/>
          <w:lang w:val="en-GB"/>
        </w:rPr>
      </w:pPr>
      <w:r w:rsidRPr="00DB1CEA">
        <w:rPr>
          <w:rFonts w:ascii="Garamond" w:eastAsiaTheme="majorEastAsia" w:hAnsi="Garamond"/>
          <w:b/>
          <w:bCs/>
          <w:color w:val="000000" w:themeColor="text1"/>
          <w:sz w:val="24"/>
          <w:szCs w:val="24"/>
          <w:lang w:val="en-GB"/>
        </w:rPr>
        <w:t>Incidence of</w:t>
      </w:r>
      <w:r w:rsidRPr="00DB1CEA">
        <w:rPr>
          <w:rFonts w:ascii="Garamond" w:eastAsiaTheme="majorEastAsia" w:hAnsi="Garamond"/>
          <w:b/>
          <w:bCs/>
          <w:noProof w:val="0"/>
          <w:color w:val="000000" w:themeColor="text1"/>
          <w:sz w:val="24"/>
          <w:szCs w:val="24"/>
          <w:lang w:val="en-GB"/>
        </w:rPr>
        <w:t xml:space="preserve"> TB Cases in 2017:</w:t>
      </w:r>
    </w:p>
    <w:p w14:paraId="3B95B0D3" w14:textId="0D3689F9" w:rsidR="00B2110D" w:rsidRPr="00DB1CEA" w:rsidRDefault="00B2110D" w:rsidP="00B2110D">
      <w:pPr>
        <w:pStyle w:val="EndNoteBibliography"/>
        <w:spacing w:after="0"/>
        <w:ind w:firstLine="720"/>
        <w:rPr>
          <w:rFonts w:ascii="Garamond" w:hAnsi="Garamond" w:cstheme="minorBidi"/>
          <w:noProof w:val="0"/>
          <w:color w:val="000000" w:themeColor="text1"/>
          <w:sz w:val="24"/>
          <w:szCs w:val="24"/>
        </w:rPr>
      </w:pPr>
      <w:r w:rsidRPr="00DB1CEA">
        <w:rPr>
          <w:rFonts w:ascii="Garamond" w:hAnsi="Garamond" w:cstheme="minorBidi"/>
          <w:noProof w:val="0"/>
          <w:color w:val="000000" w:themeColor="text1"/>
          <w:sz w:val="24"/>
          <w:szCs w:val="24"/>
        </w:rPr>
        <w:t>In summary, the PCA analysis of diet and diagnosis factors in Gujranwala city revealed a strong correlation between tuberculosis diagnosis and the economic status and level of awareness/education of individuals. Residents from low- or middle-income brackets, particularly in hotspot areas such as Kangniwala, Loyawala, Lauhala Wraich, Shaheenabad, and Chicherwali, are more frequently diagnosed with TB. These areas are marked by low socioeconomic status, poor ecological conditions, and low literacy rates. The analysis also indicates that a balanced diet plays a crucial role in maintaining a strong immune system, which is essential for preventing tuberculosis.</w:t>
      </w:r>
    </w:p>
    <w:p w14:paraId="2F01A1C9" w14:textId="2DBE1550" w:rsidR="00B2110D" w:rsidRPr="00DB1CEA" w:rsidRDefault="00B2110D" w:rsidP="00B2110D">
      <w:pPr>
        <w:pStyle w:val="EndNoteBibliography"/>
        <w:spacing w:after="0"/>
        <w:rPr>
          <w:rFonts w:ascii="Garamond" w:hAnsi="Garamond" w:cstheme="minorBidi"/>
          <w:b/>
          <w:bCs/>
          <w:noProof w:val="0"/>
          <w:color w:val="000000" w:themeColor="text1"/>
          <w:sz w:val="24"/>
          <w:szCs w:val="24"/>
        </w:rPr>
      </w:pPr>
      <w:r w:rsidRPr="00DB1CEA">
        <w:rPr>
          <w:rFonts w:ascii="Garamond" w:hAnsi="Garamond" w:cstheme="minorBidi"/>
          <w:b/>
          <w:bCs/>
          <w:noProof w:val="0"/>
          <w:color w:val="000000" w:themeColor="text1"/>
          <w:sz w:val="24"/>
          <w:szCs w:val="24"/>
        </w:rPr>
        <w:t>Incidence of Tuberculosis Cases in 2018:</w:t>
      </w:r>
    </w:p>
    <w:p w14:paraId="301F5CE2" w14:textId="02C6AC5B" w:rsidR="00E450F3" w:rsidRPr="00DB1CEA" w:rsidRDefault="00B2110D" w:rsidP="00B2110D">
      <w:pPr>
        <w:pStyle w:val="EndNoteBibliography"/>
        <w:spacing w:after="0"/>
        <w:ind w:firstLine="720"/>
        <w:rPr>
          <w:rFonts w:ascii="Garamond" w:hAnsi="Garamond"/>
          <w:color w:val="000000" w:themeColor="text1"/>
          <w:sz w:val="24"/>
          <w:szCs w:val="24"/>
        </w:rPr>
      </w:pPr>
      <w:r w:rsidRPr="00DB1CEA">
        <w:rPr>
          <w:rFonts w:ascii="Garamond" w:hAnsi="Garamond" w:cstheme="minorBidi"/>
          <w:noProof w:val="0"/>
          <w:color w:val="000000" w:themeColor="text1"/>
          <w:sz w:val="24"/>
          <w:szCs w:val="24"/>
        </w:rPr>
        <w:t>The spatial distribution of tuberculosis in Gujranwala city in 2018 closely mirrors that of 2017 (Figure 2). Areas with high TB incidence remain those with poor ecological and economic conditions, primarily inhabited by low- or middle-income individuals. These include areas such as Ladhewala Wraich, Chicherwali, Kachi Phatuman, and Loyawala. These regions continue to grapple with environmental and socioeconomic challenges. The lack of political focus on these areas has contributed to ongoing poor ecological conditions and a persistent rise in tuberculosis cases.</w:t>
      </w:r>
    </w:p>
    <w:p w14:paraId="3E3B2870" w14:textId="77777777" w:rsidR="00E450F3" w:rsidRPr="00DB1CEA" w:rsidRDefault="00E450F3" w:rsidP="00DB4C7F">
      <w:pPr>
        <w:pStyle w:val="EndNoteBibliography"/>
        <w:spacing w:after="0"/>
        <w:jc w:val="center"/>
        <w:rPr>
          <w:rFonts w:ascii="Garamond" w:hAnsi="Garamond"/>
          <w:color w:val="000000" w:themeColor="text1"/>
          <w:sz w:val="24"/>
          <w:szCs w:val="24"/>
        </w:rPr>
      </w:pPr>
      <w:r w:rsidRPr="00DB1CEA">
        <w:rPr>
          <w:rFonts w:ascii="Garamond" w:hAnsi="Garamond"/>
          <w:b/>
          <w:bCs/>
          <w:color w:val="000000" w:themeColor="text1"/>
          <w:sz w:val="24"/>
          <w:szCs w:val="24"/>
        </w:rPr>
        <w:lastRenderedPageBreak/>
        <w:drawing>
          <wp:inline distT="0" distB="0" distL="0" distR="0" wp14:anchorId="050F6B79" wp14:editId="5105F086">
            <wp:extent cx="5353234" cy="3767576"/>
            <wp:effectExtent l="19050" t="19050" r="19050" b="23495"/>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0">
                      <a:extLst>
                        <a:ext uri="{28A0092B-C50C-407E-A947-70E740481C1C}">
                          <a14:useLocalDpi xmlns:a14="http://schemas.microsoft.com/office/drawing/2010/main" val="0"/>
                        </a:ext>
                      </a:extLst>
                    </a:blip>
                    <a:srcRect l="2792" t="1963" r="2153" b="3991"/>
                    <a:stretch/>
                  </pic:blipFill>
                  <pic:spPr bwMode="auto">
                    <a:xfrm>
                      <a:off x="0" y="0"/>
                      <a:ext cx="5384629" cy="37896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4457C13" w14:textId="77777777" w:rsidR="00E450F3" w:rsidRPr="00DB1CEA" w:rsidRDefault="00E450F3" w:rsidP="00DB4C7F">
      <w:pPr>
        <w:pStyle w:val="EndNoteBibliography"/>
        <w:spacing w:after="0"/>
        <w:jc w:val="center"/>
        <w:rPr>
          <w:rFonts w:ascii="Garamond" w:hAnsi="Garamond"/>
          <w:color w:val="000000" w:themeColor="text1"/>
          <w:sz w:val="24"/>
          <w:szCs w:val="24"/>
        </w:rPr>
      </w:pPr>
      <w:r w:rsidRPr="00DB1CEA">
        <w:rPr>
          <w:rFonts w:ascii="Garamond" w:hAnsi="Garamond"/>
          <w:b/>
          <w:bCs/>
          <w:noProof w:val="0"/>
          <w:color w:val="000000" w:themeColor="text1"/>
          <w:sz w:val="24"/>
          <w:szCs w:val="24"/>
          <w:lang w:val="en-GB"/>
        </w:rPr>
        <w:t xml:space="preserve">Figure 3: </w:t>
      </w:r>
      <w:r w:rsidRPr="00DB1CEA">
        <w:rPr>
          <w:rFonts w:ascii="Garamond" w:hAnsi="Garamond"/>
          <w:noProof w:val="0"/>
          <w:color w:val="000000" w:themeColor="text1"/>
          <w:sz w:val="24"/>
          <w:szCs w:val="24"/>
          <w:lang w:val="en-GB"/>
        </w:rPr>
        <w:t>Spatial distribution of TB cases in 2018, Gujranwala city</w:t>
      </w:r>
    </w:p>
    <w:p w14:paraId="48B59A07" w14:textId="78A6C92F" w:rsidR="00E450F3" w:rsidRPr="00DB1CEA" w:rsidRDefault="00E450F3" w:rsidP="00DB4C7F">
      <w:pPr>
        <w:pStyle w:val="EndNoteBibliography"/>
        <w:spacing w:after="0"/>
        <w:rPr>
          <w:rFonts w:ascii="Garamond" w:hAnsi="Garamond"/>
          <w:b/>
          <w:bCs/>
          <w:color w:val="000000" w:themeColor="text1"/>
          <w:sz w:val="24"/>
          <w:szCs w:val="24"/>
        </w:rPr>
      </w:pPr>
      <w:r w:rsidRPr="00DB1CEA">
        <w:rPr>
          <w:rFonts w:ascii="Garamond" w:hAnsi="Garamond"/>
          <w:b/>
          <w:bCs/>
          <w:color w:val="000000" w:themeColor="text1"/>
          <w:sz w:val="24"/>
          <w:szCs w:val="24"/>
        </w:rPr>
        <w:t xml:space="preserve">Prevalence of </w:t>
      </w:r>
      <w:r w:rsidR="00771CA1" w:rsidRPr="00DB1CEA">
        <w:rPr>
          <w:rFonts w:ascii="Garamond" w:hAnsi="Garamond"/>
          <w:b/>
          <w:bCs/>
          <w:color w:val="000000" w:themeColor="text1"/>
          <w:sz w:val="24"/>
          <w:szCs w:val="24"/>
        </w:rPr>
        <w:t xml:space="preserve">Tuberculosis </w:t>
      </w:r>
      <w:r w:rsidRPr="00DB1CEA">
        <w:rPr>
          <w:rFonts w:ascii="Garamond" w:hAnsi="Garamond"/>
          <w:b/>
          <w:bCs/>
          <w:color w:val="000000" w:themeColor="text1"/>
          <w:sz w:val="24"/>
          <w:szCs w:val="24"/>
        </w:rPr>
        <w:t xml:space="preserve">in Gujranwala </w:t>
      </w:r>
      <w:r w:rsidR="00771CA1" w:rsidRPr="00DB1CEA">
        <w:rPr>
          <w:rFonts w:ascii="Garamond" w:hAnsi="Garamond"/>
          <w:b/>
          <w:bCs/>
          <w:color w:val="000000" w:themeColor="text1"/>
          <w:sz w:val="24"/>
          <w:szCs w:val="24"/>
        </w:rPr>
        <w:t xml:space="preserve">City </w:t>
      </w:r>
      <w:r w:rsidRPr="00DB1CEA">
        <w:rPr>
          <w:rFonts w:ascii="Garamond" w:hAnsi="Garamond"/>
          <w:b/>
          <w:bCs/>
          <w:color w:val="000000" w:themeColor="text1"/>
          <w:sz w:val="24"/>
          <w:szCs w:val="24"/>
        </w:rPr>
        <w:t xml:space="preserve">by </w:t>
      </w:r>
      <w:r w:rsidR="00771CA1" w:rsidRPr="00DB1CEA">
        <w:rPr>
          <w:rFonts w:ascii="Garamond" w:hAnsi="Garamond"/>
          <w:b/>
          <w:bCs/>
          <w:color w:val="000000" w:themeColor="text1"/>
          <w:sz w:val="24"/>
          <w:szCs w:val="24"/>
        </w:rPr>
        <w:t>Surveying:</w:t>
      </w:r>
    </w:p>
    <w:p w14:paraId="04AE0842" w14:textId="21B174E8" w:rsidR="002F3B6B" w:rsidRPr="00DB1CEA" w:rsidRDefault="002F3B6B" w:rsidP="002F3B6B">
      <w:pPr>
        <w:spacing w:after="0" w:line="240" w:lineRule="auto"/>
        <w:ind w:firstLine="720"/>
        <w:jc w:val="both"/>
        <w:rPr>
          <w:rFonts w:ascii="Garamond" w:hAnsi="Garamond" w:cs="Calibri"/>
          <w:noProof/>
          <w:color w:val="000000" w:themeColor="text1"/>
          <w:sz w:val="24"/>
          <w:szCs w:val="24"/>
        </w:rPr>
      </w:pPr>
      <w:r w:rsidRPr="00DB1CEA">
        <w:rPr>
          <w:rFonts w:ascii="Garamond" w:hAnsi="Garamond" w:cs="Calibri"/>
          <w:noProof/>
          <w:color w:val="000000" w:themeColor="text1"/>
          <w:sz w:val="24"/>
          <w:szCs w:val="24"/>
        </w:rPr>
        <w:t>In conclusion, the spatial distribution of tuberculosis in Gujranwala city identifies hotspot areas including Kachi Phatuman, Ladhewala Wraich, Chicherwali, Khiyali, the main city, Kangniwala, Dule, and Gharjkh (Figure 3). These regions are densely populated with low socioeconomic conditions, resulting in limited awareness and poor environmental conditions. Data collected from patient surveys indicate that low education, overcrowded housing, and poverty are key factors contributing to the spread of TB. The annual National Tuberculosis Program (NTP) report of Pakistan revealed that the situation remained stable from 2015 to 2016. TB affects both males and females equally, underscoring the need for targeted preventive strategies to enhance health and living conditions in these areas.</w:t>
      </w:r>
    </w:p>
    <w:p w14:paraId="6E4C0B2C" w14:textId="18FB650C" w:rsidR="002F3B6B" w:rsidRPr="00DB1CEA" w:rsidRDefault="002F3B6B" w:rsidP="002F3B6B">
      <w:pPr>
        <w:spacing w:after="0" w:line="240" w:lineRule="auto"/>
        <w:jc w:val="both"/>
        <w:rPr>
          <w:rFonts w:ascii="Garamond" w:hAnsi="Garamond" w:cs="Calibri"/>
          <w:b/>
          <w:bCs/>
          <w:noProof/>
          <w:color w:val="000000" w:themeColor="text1"/>
          <w:sz w:val="24"/>
          <w:szCs w:val="24"/>
        </w:rPr>
      </w:pPr>
      <w:r w:rsidRPr="00DB1CEA">
        <w:rPr>
          <w:rFonts w:ascii="Garamond" w:hAnsi="Garamond" w:cs="Calibri"/>
          <w:b/>
          <w:bCs/>
          <w:noProof/>
          <w:color w:val="000000" w:themeColor="text1"/>
          <w:sz w:val="24"/>
          <w:szCs w:val="24"/>
        </w:rPr>
        <w:t>Factor I – Socioeconomic and Ecological Status:</w:t>
      </w:r>
    </w:p>
    <w:p w14:paraId="5931697E" w14:textId="18F70292" w:rsidR="00130CB8" w:rsidRDefault="002F3B6B" w:rsidP="002F3B6B">
      <w:pPr>
        <w:spacing w:after="0" w:line="240" w:lineRule="auto"/>
        <w:ind w:firstLine="720"/>
        <w:jc w:val="both"/>
        <w:rPr>
          <w:rFonts w:ascii="Garamond" w:hAnsi="Garamond" w:cs="Calibri"/>
          <w:noProof/>
          <w:color w:val="000000" w:themeColor="text1"/>
          <w:sz w:val="24"/>
          <w:szCs w:val="24"/>
        </w:rPr>
      </w:pPr>
      <w:r w:rsidRPr="00DB1CEA">
        <w:rPr>
          <w:rFonts w:ascii="Garamond" w:hAnsi="Garamond" w:cs="Calibri"/>
          <w:noProof/>
          <w:color w:val="000000" w:themeColor="text1"/>
          <w:sz w:val="24"/>
          <w:szCs w:val="24"/>
        </w:rPr>
        <w:t>In the PCA analysis, Factor I was used to illustrate the socioeconomic and ecological status of the patients (Figure 4). This factor accounts for 53.46% of the total variance. Significant positive values in Factor I ranged from .998 to .517, while the significant negative value was -.948. The highest positive values in Factor I were associated with 51 variables related to socioeconomic and ecological factors, including non-addicted patients, good ecological status, non-smokers, patients residing in middle-level housing, employed individuals, laborers, patients with 7-9 family members, those with an income of 15,000-25,000 PKR, families with more than 9 members, patients living in 1-3 room homes, those with education up to the matric level, unmarried individuals, those with personal businesses, divorcees, patients with incomes above 30,000 PKR, those living in houses with 4-6 rooms, male patients, and those with intermediate-level education.</w:t>
      </w:r>
    </w:p>
    <w:p w14:paraId="5295E6F1" w14:textId="77777777" w:rsidR="000302BC" w:rsidRPr="00DB1CEA" w:rsidRDefault="000302BC" w:rsidP="000302BC">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 xml:space="preserve">However, the negative values in Factor I are associated with patients who smoke more than 10 cigarettes per day. This data indicates that tuberculosis patients often come from low- and middle-income families with limited education, primarily below the matric level, and are employed in labor-intensive industries. These patients also experience poor ecological conditions, such as congested living areas, numerous family members in small rooms, and </w:t>
      </w:r>
      <w:r w:rsidRPr="00DB1CEA">
        <w:rPr>
          <w:rFonts w:ascii="Garamond" w:hAnsi="Garamond"/>
          <w:color w:val="000000" w:themeColor="text1"/>
          <w:sz w:val="24"/>
          <w:szCs w:val="24"/>
        </w:rPr>
        <w:lastRenderedPageBreak/>
        <w:t>proximity to garbage. Additionally, a lack of awareness about tuberculosis, reflected in the low literacy rate, exacerbates the situation. The PCA analysis of Factor I demonstrates a direct relationship between poor socioeconomic and ecological conditions and the prevalence of tuberculosis.</w:t>
      </w:r>
    </w:p>
    <w:p w14:paraId="0D54E7A2" w14:textId="2CB4D534" w:rsidR="00E450F3" w:rsidRPr="00DB1CEA" w:rsidRDefault="00E450F3" w:rsidP="00DB4C7F">
      <w:pPr>
        <w:spacing w:after="0" w:line="240" w:lineRule="auto"/>
        <w:jc w:val="center"/>
        <w:rPr>
          <w:rFonts w:ascii="Garamond" w:hAnsi="Garamond" w:cs="Times New Roman"/>
          <w:b/>
          <w:bCs/>
          <w:color w:val="000000" w:themeColor="text1"/>
          <w:sz w:val="24"/>
          <w:szCs w:val="24"/>
        </w:rPr>
      </w:pPr>
      <w:r w:rsidRPr="00DB1CEA">
        <w:rPr>
          <w:rFonts w:ascii="Garamond" w:hAnsi="Garamond" w:cs="Times New Roman"/>
          <w:noProof/>
          <w:color w:val="000000" w:themeColor="text1"/>
          <w:sz w:val="24"/>
          <w:szCs w:val="24"/>
        </w:rPr>
        <w:drawing>
          <wp:inline distT="0" distB="0" distL="0" distR="0" wp14:anchorId="3A678838" wp14:editId="1E1D0C52">
            <wp:extent cx="5099050" cy="3767160"/>
            <wp:effectExtent l="19050" t="19050" r="25400" b="2413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1">
                      <a:extLst>
                        <a:ext uri="{28A0092B-C50C-407E-A947-70E740481C1C}">
                          <a14:useLocalDpi xmlns:a14="http://schemas.microsoft.com/office/drawing/2010/main" val="0"/>
                        </a:ext>
                      </a:extLst>
                    </a:blip>
                    <a:srcRect l="2450" t="3168" r="1899" b="5433"/>
                    <a:stretch/>
                  </pic:blipFill>
                  <pic:spPr bwMode="auto">
                    <a:xfrm>
                      <a:off x="0" y="0"/>
                      <a:ext cx="5103842" cy="37707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0C8ADCC4" w14:textId="77777777" w:rsidR="00E450F3" w:rsidRPr="00DB1CEA" w:rsidRDefault="00E450F3" w:rsidP="00DB4C7F">
      <w:pPr>
        <w:spacing w:after="0" w:line="240" w:lineRule="auto"/>
        <w:jc w:val="center"/>
        <w:rPr>
          <w:rFonts w:ascii="Garamond" w:hAnsi="Garamond" w:cs="Times New Roman"/>
          <w:color w:val="000000" w:themeColor="text1"/>
          <w:sz w:val="24"/>
          <w:szCs w:val="24"/>
        </w:rPr>
      </w:pPr>
      <w:r w:rsidRPr="00DB1CEA">
        <w:rPr>
          <w:rFonts w:ascii="Garamond" w:hAnsi="Garamond" w:cs="Times New Roman"/>
          <w:b/>
          <w:bCs/>
          <w:color w:val="000000" w:themeColor="text1"/>
          <w:sz w:val="24"/>
          <w:szCs w:val="24"/>
        </w:rPr>
        <w:t xml:space="preserve">Figure 4: </w:t>
      </w:r>
      <w:r w:rsidRPr="00DB1CEA">
        <w:rPr>
          <w:rFonts w:ascii="Garamond" w:hAnsi="Garamond" w:cs="Times New Roman"/>
          <w:color w:val="000000" w:themeColor="text1"/>
          <w:sz w:val="24"/>
          <w:szCs w:val="24"/>
        </w:rPr>
        <w:t>Spatial Distribution of tuberculosis by surveying, 2019</w:t>
      </w:r>
    </w:p>
    <w:p w14:paraId="34F99FEE" w14:textId="65EF7C11" w:rsidR="00F20300" w:rsidRPr="00DB1CEA" w:rsidRDefault="00F20300" w:rsidP="00AD01ED">
      <w:pPr>
        <w:spacing w:after="0" w:line="240" w:lineRule="auto"/>
        <w:jc w:val="both"/>
        <w:rPr>
          <w:rFonts w:ascii="Garamond" w:hAnsi="Garamond"/>
          <w:b/>
          <w:bCs/>
          <w:color w:val="000000" w:themeColor="text1"/>
          <w:sz w:val="24"/>
          <w:szCs w:val="24"/>
        </w:rPr>
      </w:pPr>
      <w:r w:rsidRPr="00DB1CEA">
        <w:rPr>
          <w:rFonts w:ascii="Garamond" w:hAnsi="Garamond"/>
          <w:b/>
          <w:bCs/>
          <w:color w:val="000000" w:themeColor="text1"/>
          <w:sz w:val="24"/>
          <w:szCs w:val="24"/>
        </w:rPr>
        <w:t>Factor II – Socioeconomic and Demographic:</w:t>
      </w:r>
    </w:p>
    <w:p w14:paraId="2FD147C1" w14:textId="3309E97E" w:rsidR="00F20300" w:rsidRPr="00DB1CEA" w:rsidRDefault="00F20300" w:rsidP="00F20300">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Factor II elucidates the relationship between socioeconomic and demographic factors, including housewives (0.843), smokers living in joint families (0.834), patients in joint families (0.825), those living in 1-3 room homes (0.814), with 7-9 family members (0.796), unmarried individuals (0.792), non-addicted patients (0.787), those living in congested areas (0.766), patients with 4-6 room homes (0.740), and those in low-level residences (0.738). Conversely, Factor II shows negative significant values for patients with more than 9 family members (-0.871), those in high-level residences (-0.824), patients with 7-9 rooms (-0.794), those with 4-6 rooms living in joint families (-0.716), patients with separate rooms (-0.700), those in middle-level residences (-0.696), employed individuals (-0.689), patients with an income of 15,000-25,000 PKR (-0.667), those with personal businesses (-0.656), divorcees (-0.589), patients with intermediate education (-0.541), and male patients (-0.499).</w:t>
      </w:r>
    </w:p>
    <w:p w14:paraId="3316EE6D" w14:textId="2FB6DD69" w:rsidR="00A16E41" w:rsidRPr="00DB1CEA" w:rsidRDefault="00F20300" w:rsidP="00F20300">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 xml:space="preserve">Factor II highlights the link between smoking habits and the status of patients. Smokers, who live in poor conditions such as joint families, congested areas, and low-level residencies with fewer rooms, show a higher incidence of tuberculosis. The high illiteracy rate among patients is also a concern. Widows, housewives, and retirees are at a higher risk for the disease. The factor further illustrates a negative correlation between employment, having separate rooms, and intermediate education with tuberculosis. Factor II, which explains 26.13% of the variance, includes 16 positive and 13 negative significant values. It reflects that education is a key variable for improving quality of life, with low education or illiteracy linked to poverty and low-income jobs. Smoking, a significant social factor, directly impacts tuberculosis incidence. Gender and marital status also influence disease prevalence, with female patients having less external contact and widowed or divorced patients facing financial constraints affecting their diet. Overall, the </w:t>
      </w:r>
      <w:r w:rsidRPr="00DB1CEA">
        <w:rPr>
          <w:rFonts w:ascii="Garamond" w:hAnsi="Garamond"/>
          <w:color w:val="000000" w:themeColor="text1"/>
          <w:sz w:val="24"/>
          <w:szCs w:val="24"/>
        </w:rPr>
        <w:lastRenderedPageBreak/>
        <w:t>socioeconomic status of patients, including income and family size, significantly impacts tuberculosis outcomes, with overcrowding and malnutrition being prevalent in underdeveloped countries like Pakistan and associated with the labor class and low income.</w:t>
      </w:r>
    </w:p>
    <w:p w14:paraId="02CCCB9D" w14:textId="3BDF4E33" w:rsidR="00E450F3" w:rsidRPr="00DB1CEA" w:rsidRDefault="00E450F3" w:rsidP="00DB4C7F">
      <w:pPr>
        <w:spacing w:after="0" w:line="240" w:lineRule="auto"/>
        <w:jc w:val="center"/>
        <w:rPr>
          <w:rFonts w:ascii="Garamond" w:hAnsi="Garamond" w:cs="Times New Roman"/>
          <w:bCs/>
          <w:color w:val="000000" w:themeColor="text1"/>
          <w:sz w:val="24"/>
          <w:szCs w:val="24"/>
        </w:rPr>
      </w:pPr>
      <w:r w:rsidRPr="00DB1CEA">
        <w:rPr>
          <w:rFonts w:ascii="Garamond" w:hAnsi="Garamond" w:cs="Times New Roman"/>
          <w:b/>
          <w:color w:val="000000" w:themeColor="text1"/>
          <w:sz w:val="24"/>
          <w:szCs w:val="24"/>
        </w:rPr>
        <w:t>Table 1</w:t>
      </w:r>
      <w:r w:rsidR="001E57F6" w:rsidRPr="00DB1CEA">
        <w:rPr>
          <w:rFonts w:ascii="Garamond" w:hAnsi="Garamond" w:cs="Times New Roman"/>
          <w:b/>
          <w:color w:val="000000" w:themeColor="text1"/>
          <w:sz w:val="24"/>
          <w:szCs w:val="24"/>
        </w:rPr>
        <w:t>:</w:t>
      </w:r>
      <w:r w:rsidRPr="00DB1CEA">
        <w:rPr>
          <w:rFonts w:ascii="Garamond" w:hAnsi="Garamond" w:cs="Times New Roman"/>
          <w:b/>
          <w:color w:val="000000" w:themeColor="text1"/>
          <w:sz w:val="24"/>
          <w:szCs w:val="24"/>
        </w:rPr>
        <w:t xml:space="preserve"> </w:t>
      </w:r>
      <w:r w:rsidRPr="00DB1CEA">
        <w:rPr>
          <w:rFonts w:ascii="Garamond" w:hAnsi="Garamond" w:cs="Times New Roman"/>
          <w:bCs/>
          <w:color w:val="000000" w:themeColor="text1"/>
          <w:sz w:val="24"/>
          <w:szCs w:val="24"/>
        </w:rPr>
        <w:t>Rotated Component Matrix</w:t>
      </w:r>
    </w:p>
    <w:tbl>
      <w:tblPr>
        <w:tblStyle w:val="TableGrid"/>
        <w:tblpPr w:leftFromText="180" w:rightFromText="180" w:vertAnchor="text" w:horzAnchor="page" w:tblpXSpec="center" w:tblpY="71"/>
        <w:tblW w:w="9995" w:type="dxa"/>
        <w:tblLayout w:type="fixed"/>
        <w:tblLook w:val="04A0" w:firstRow="1" w:lastRow="0" w:firstColumn="1" w:lastColumn="0" w:noHBand="0" w:noVBand="1"/>
      </w:tblPr>
      <w:tblGrid>
        <w:gridCol w:w="624"/>
        <w:gridCol w:w="2341"/>
        <w:gridCol w:w="736"/>
        <w:gridCol w:w="7"/>
        <w:gridCol w:w="2330"/>
        <w:gridCol w:w="708"/>
        <w:gridCol w:w="14"/>
        <w:gridCol w:w="2412"/>
        <w:gridCol w:w="816"/>
        <w:gridCol w:w="7"/>
      </w:tblGrid>
      <w:tr w:rsidR="004104B9" w:rsidRPr="00DB1CEA" w14:paraId="72CAC850" w14:textId="77777777" w:rsidTr="00130CB8">
        <w:trPr>
          <w:trHeight w:val="244"/>
        </w:trPr>
        <w:tc>
          <w:tcPr>
            <w:tcW w:w="624" w:type="dxa"/>
            <w:tcBorders>
              <w:top w:val="single" w:sz="4" w:space="0" w:color="auto"/>
              <w:bottom w:val="single" w:sz="4" w:space="0" w:color="auto"/>
            </w:tcBorders>
          </w:tcPr>
          <w:p w14:paraId="60127A50" w14:textId="77777777" w:rsidR="00E450F3" w:rsidRPr="00DB1CEA" w:rsidRDefault="00E450F3" w:rsidP="00DB4C7F">
            <w:pPr>
              <w:pStyle w:val="EndNoteBibliography"/>
              <w:jc w:val="center"/>
              <w:rPr>
                <w:rFonts w:ascii="Garamond" w:hAnsi="Garamond"/>
                <w:color w:val="000000" w:themeColor="text1"/>
                <w:sz w:val="24"/>
                <w:szCs w:val="24"/>
              </w:rPr>
            </w:pPr>
            <w:bookmarkStart w:id="3" w:name="_Hlk10991046"/>
            <w:r w:rsidRPr="00DB1CEA">
              <w:rPr>
                <w:rFonts w:ascii="Garamond" w:hAnsi="Garamond"/>
                <w:b/>
                <w:color w:val="000000" w:themeColor="text1"/>
                <w:sz w:val="24"/>
                <w:szCs w:val="24"/>
              </w:rPr>
              <w:t>No</w:t>
            </w:r>
            <w:r w:rsidRPr="00DB1CEA">
              <w:rPr>
                <w:rFonts w:ascii="Garamond" w:hAnsi="Garamond"/>
                <w:color w:val="000000" w:themeColor="text1"/>
                <w:sz w:val="24"/>
                <w:szCs w:val="24"/>
              </w:rPr>
              <w:t>.</w:t>
            </w:r>
          </w:p>
        </w:tc>
        <w:tc>
          <w:tcPr>
            <w:tcW w:w="3084" w:type="dxa"/>
            <w:gridSpan w:val="3"/>
            <w:tcBorders>
              <w:top w:val="single" w:sz="4" w:space="0" w:color="auto"/>
              <w:bottom w:val="single" w:sz="4" w:space="0" w:color="auto"/>
            </w:tcBorders>
          </w:tcPr>
          <w:p w14:paraId="3FEB497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Factor I</w:t>
            </w:r>
          </w:p>
        </w:tc>
        <w:tc>
          <w:tcPr>
            <w:tcW w:w="3052" w:type="dxa"/>
            <w:gridSpan w:val="3"/>
            <w:tcBorders>
              <w:top w:val="single" w:sz="4" w:space="0" w:color="auto"/>
              <w:bottom w:val="single" w:sz="4" w:space="0" w:color="auto"/>
            </w:tcBorders>
          </w:tcPr>
          <w:p w14:paraId="406F5F5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Factor II</w:t>
            </w:r>
          </w:p>
        </w:tc>
        <w:tc>
          <w:tcPr>
            <w:tcW w:w="3235" w:type="dxa"/>
            <w:gridSpan w:val="3"/>
            <w:tcBorders>
              <w:top w:val="single" w:sz="4" w:space="0" w:color="auto"/>
              <w:bottom w:val="single" w:sz="4" w:space="0" w:color="auto"/>
            </w:tcBorders>
          </w:tcPr>
          <w:p w14:paraId="0BA923B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Factor III</w:t>
            </w:r>
          </w:p>
        </w:tc>
      </w:tr>
      <w:tr w:rsidR="004104B9" w:rsidRPr="00DB1CEA" w14:paraId="1453ADD4" w14:textId="77777777" w:rsidTr="00130CB8">
        <w:trPr>
          <w:gridAfter w:val="1"/>
          <w:wAfter w:w="7" w:type="dxa"/>
          <w:trHeight w:val="893"/>
        </w:trPr>
        <w:tc>
          <w:tcPr>
            <w:tcW w:w="624" w:type="dxa"/>
            <w:tcBorders>
              <w:top w:val="single" w:sz="4" w:space="0" w:color="auto"/>
            </w:tcBorders>
          </w:tcPr>
          <w:p w14:paraId="687399C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w:t>
            </w:r>
          </w:p>
          <w:p w14:paraId="35E0275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w:t>
            </w:r>
          </w:p>
          <w:p w14:paraId="7350F9B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w:t>
            </w:r>
          </w:p>
          <w:p w14:paraId="04897AB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w:t>
            </w:r>
          </w:p>
          <w:p w14:paraId="2934803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w:t>
            </w:r>
          </w:p>
          <w:p w14:paraId="5E2876E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w:t>
            </w:r>
          </w:p>
          <w:p w14:paraId="516583F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w:t>
            </w:r>
          </w:p>
          <w:p w14:paraId="3E842F4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w:t>
            </w:r>
          </w:p>
          <w:p w14:paraId="7015EE5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w:t>
            </w:r>
          </w:p>
          <w:p w14:paraId="146540A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10</w:t>
            </w:r>
          </w:p>
          <w:p w14:paraId="0B6DC6E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w:t>
            </w:r>
          </w:p>
          <w:p w14:paraId="0D74079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12</w:t>
            </w:r>
          </w:p>
          <w:p w14:paraId="375357B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13</w:t>
            </w:r>
          </w:p>
          <w:p w14:paraId="1358BBA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14</w:t>
            </w:r>
          </w:p>
          <w:p w14:paraId="4E22F98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15</w:t>
            </w:r>
          </w:p>
          <w:p w14:paraId="2ECAF14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16</w:t>
            </w:r>
          </w:p>
          <w:p w14:paraId="3A961C3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17</w:t>
            </w:r>
          </w:p>
          <w:p w14:paraId="2BC5160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18</w:t>
            </w:r>
          </w:p>
          <w:p w14:paraId="42EB4FF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19</w:t>
            </w:r>
          </w:p>
          <w:p w14:paraId="58681B8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20</w:t>
            </w:r>
          </w:p>
          <w:p w14:paraId="2CF632D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21</w:t>
            </w:r>
          </w:p>
          <w:p w14:paraId="7C0824A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22</w:t>
            </w:r>
          </w:p>
          <w:p w14:paraId="5F74469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23</w:t>
            </w:r>
          </w:p>
          <w:p w14:paraId="0AC4A97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24</w:t>
            </w:r>
          </w:p>
          <w:p w14:paraId="35A5B37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25</w:t>
            </w:r>
          </w:p>
          <w:p w14:paraId="30E38EE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26</w:t>
            </w:r>
          </w:p>
          <w:p w14:paraId="24EE6BF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27</w:t>
            </w:r>
          </w:p>
          <w:p w14:paraId="69AFDA9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28</w:t>
            </w:r>
          </w:p>
          <w:p w14:paraId="1A6184C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29</w:t>
            </w:r>
          </w:p>
          <w:p w14:paraId="2A2EDF4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30</w:t>
            </w:r>
          </w:p>
          <w:p w14:paraId="633816E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31</w:t>
            </w:r>
          </w:p>
          <w:p w14:paraId="79D3AF0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32</w:t>
            </w:r>
          </w:p>
          <w:p w14:paraId="48ED825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33</w:t>
            </w:r>
          </w:p>
          <w:p w14:paraId="5AAE40C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34</w:t>
            </w:r>
          </w:p>
          <w:p w14:paraId="69F9330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35</w:t>
            </w:r>
          </w:p>
          <w:p w14:paraId="182811C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36</w:t>
            </w:r>
          </w:p>
          <w:p w14:paraId="543EBE8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37</w:t>
            </w:r>
          </w:p>
          <w:p w14:paraId="06204CF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38</w:t>
            </w:r>
          </w:p>
          <w:p w14:paraId="20344B6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39</w:t>
            </w:r>
          </w:p>
          <w:p w14:paraId="113CD14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40</w:t>
            </w:r>
          </w:p>
          <w:p w14:paraId="6535997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41</w:t>
            </w:r>
          </w:p>
          <w:p w14:paraId="544D29B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42</w:t>
            </w:r>
          </w:p>
          <w:p w14:paraId="2F4565B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43</w:t>
            </w:r>
          </w:p>
          <w:p w14:paraId="145CAF7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44</w:t>
            </w:r>
          </w:p>
          <w:p w14:paraId="42C5589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45</w:t>
            </w:r>
          </w:p>
          <w:p w14:paraId="27E3FD8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lastRenderedPageBreak/>
              <w:t>46</w:t>
            </w:r>
          </w:p>
          <w:p w14:paraId="7081329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47</w:t>
            </w:r>
          </w:p>
          <w:p w14:paraId="277F17A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48</w:t>
            </w:r>
          </w:p>
          <w:p w14:paraId="51BA8C0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49</w:t>
            </w:r>
          </w:p>
          <w:p w14:paraId="7C9AAAC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50</w:t>
            </w:r>
          </w:p>
          <w:p w14:paraId="5496840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51</w:t>
            </w:r>
          </w:p>
          <w:p w14:paraId="2D533A5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52</w:t>
            </w:r>
          </w:p>
          <w:p w14:paraId="6CF1C78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53</w:t>
            </w:r>
          </w:p>
          <w:p w14:paraId="127FD75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54</w:t>
            </w:r>
          </w:p>
          <w:p w14:paraId="4D75DE7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55</w:t>
            </w:r>
          </w:p>
          <w:p w14:paraId="3DE4EA6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56</w:t>
            </w:r>
          </w:p>
          <w:p w14:paraId="1201437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57</w:t>
            </w:r>
          </w:p>
          <w:p w14:paraId="5586021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58</w:t>
            </w:r>
          </w:p>
          <w:p w14:paraId="110B591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59</w:t>
            </w:r>
          </w:p>
          <w:p w14:paraId="7B64AEC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60</w:t>
            </w:r>
          </w:p>
          <w:p w14:paraId="6092CF3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61</w:t>
            </w:r>
          </w:p>
          <w:p w14:paraId="7B23EAE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62</w:t>
            </w:r>
          </w:p>
          <w:p w14:paraId="2BF7D18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63</w:t>
            </w:r>
          </w:p>
          <w:p w14:paraId="5D2CE1D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64</w:t>
            </w:r>
          </w:p>
          <w:p w14:paraId="1DE17DE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65</w:t>
            </w:r>
          </w:p>
          <w:p w14:paraId="6EA7DD9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66</w:t>
            </w:r>
          </w:p>
          <w:p w14:paraId="38ED899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67</w:t>
            </w:r>
          </w:p>
          <w:p w14:paraId="0BC3DFC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68</w:t>
            </w:r>
          </w:p>
          <w:p w14:paraId="746D06D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69</w:t>
            </w:r>
          </w:p>
          <w:p w14:paraId="15AD859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70</w:t>
            </w:r>
          </w:p>
          <w:p w14:paraId="3CEA869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71</w:t>
            </w:r>
          </w:p>
          <w:p w14:paraId="0C3AF49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72</w:t>
            </w:r>
          </w:p>
          <w:p w14:paraId="4CC5867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73</w:t>
            </w:r>
          </w:p>
          <w:p w14:paraId="73F18ECD" w14:textId="6F2068B1"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74</w:t>
            </w:r>
          </w:p>
        </w:tc>
        <w:tc>
          <w:tcPr>
            <w:tcW w:w="2341" w:type="dxa"/>
            <w:tcBorders>
              <w:top w:val="single" w:sz="4" w:space="0" w:color="auto"/>
            </w:tcBorders>
          </w:tcPr>
          <w:p w14:paraId="1500490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lastRenderedPageBreak/>
              <w:t>FMDied_No</w:t>
            </w:r>
          </w:p>
          <w:p w14:paraId="46FF7E3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Non_Addicted</w:t>
            </w:r>
          </w:p>
          <w:p w14:paraId="529A05E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GNH_No</w:t>
            </w:r>
          </w:p>
          <w:p w14:paraId="79E16DC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AR_TB_No</w:t>
            </w:r>
          </w:p>
          <w:p w14:paraId="583D0C4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TBB_now_No</w:t>
            </w:r>
          </w:p>
          <w:p w14:paraId="390C3D2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Congested</w:t>
            </w:r>
          </w:p>
          <w:p w14:paraId="2593FB8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Age groups</w:t>
            </w:r>
          </w:p>
          <w:p w14:paraId="39265B5D"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Registered</w:t>
            </w:r>
          </w:p>
          <w:p w14:paraId="0F8BE46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No_separete_room</w:t>
            </w:r>
          </w:p>
          <w:p w14:paraId="04C58F7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Middle</w:t>
            </w:r>
          </w:p>
          <w:p w14:paraId="2A1EB35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Months1_4TB</w:t>
            </w:r>
          </w:p>
          <w:p w14:paraId="76D2A68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Once_a_week</w:t>
            </w:r>
          </w:p>
          <w:p w14:paraId="0A4C9E4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Employed</w:t>
            </w:r>
          </w:p>
          <w:p w14:paraId="3860097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Non_smoker</w:t>
            </w:r>
          </w:p>
          <w:p w14:paraId="5757081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FTN_No</w:t>
            </w:r>
          </w:p>
          <w:p w14:paraId="40DF5F7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Any disease_No</w:t>
            </w:r>
          </w:p>
          <w:p w14:paraId="545DEF4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Labour</w:t>
            </w:r>
          </w:p>
          <w:p w14:paraId="32B2817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Persons_7_9</w:t>
            </w:r>
          </w:p>
          <w:p w14:paraId="051C9A6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Income_15000_25000</w:t>
            </w:r>
          </w:p>
          <w:p w14:paraId="355D214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Twice_a_week</w:t>
            </w:r>
          </w:p>
          <w:p w14:paraId="50D2D79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Persons_above 9</w:t>
            </w:r>
          </w:p>
          <w:p w14:paraId="43A6AA0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Rooms_1_3</w:t>
            </w:r>
          </w:p>
          <w:p w14:paraId="6BD5C26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FMDied_Yes</w:t>
            </w:r>
          </w:p>
          <w:p w14:paraId="028EFC6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GNH_Yes</w:t>
            </w:r>
          </w:p>
          <w:p w14:paraId="4275A3F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No_eat_meat</w:t>
            </w:r>
          </w:p>
          <w:p w14:paraId="361FABC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Join</w:t>
            </w:r>
          </w:p>
          <w:p w14:paraId="780CA2A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FPCured_No</w:t>
            </w:r>
          </w:p>
          <w:p w14:paraId="17C848C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Matric</w:t>
            </w:r>
          </w:p>
          <w:p w14:paraId="799C634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Vaccinated</w:t>
            </w:r>
          </w:p>
          <w:p w14:paraId="7F99F0C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Rooms_7_9</w:t>
            </w:r>
          </w:p>
          <w:p w14:paraId="4FB7463B"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Primary</w:t>
            </w:r>
          </w:p>
          <w:p w14:paraId="450E1EF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Un_married</w:t>
            </w:r>
          </w:p>
          <w:p w14:paraId="49C7129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FTN_Yes</w:t>
            </w:r>
          </w:p>
          <w:p w14:paraId="7522214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Nucleated</w:t>
            </w:r>
          </w:p>
          <w:p w14:paraId="3963472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FPCured_Yes</w:t>
            </w:r>
          </w:p>
          <w:p w14:paraId="30ADA35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Personal_business</w:t>
            </w:r>
          </w:p>
          <w:p w14:paraId="1061453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 5_8 TB</w:t>
            </w:r>
          </w:p>
          <w:p w14:paraId="7EA7F57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Divorce</w:t>
            </w:r>
          </w:p>
          <w:p w14:paraId="0C80A47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Income_above 30000</w:t>
            </w:r>
          </w:p>
          <w:p w14:paraId="3E31E84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Rooms_4_6</w:t>
            </w:r>
          </w:p>
          <w:p w14:paraId="1BA7F7F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Female</w:t>
            </w:r>
          </w:p>
          <w:p w14:paraId="15E02C8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Persons_4_6</w:t>
            </w:r>
          </w:p>
          <w:p w14:paraId="5418E53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Low</w:t>
            </w:r>
          </w:p>
          <w:p w14:paraId="5A1DAB2B"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High</w:t>
            </w:r>
          </w:p>
          <w:p w14:paraId="3F3C821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Intermediate</w:t>
            </w:r>
          </w:p>
          <w:p w14:paraId="0F5679C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lastRenderedPageBreak/>
              <w:t>Income_25000_30000</w:t>
            </w:r>
          </w:p>
          <w:p w14:paraId="038B8D1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Years 1_4TB</w:t>
            </w:r>
          </w:p>
          <w:p w14:paraId="1BB02FC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TBB_now_Yes</w:t>
            </w:r>
          </w:p>
          <w:p w14:paraId="5125B44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Male</w:t>
            </w:r>
          </w:p>
          <w:p w14:paraId="2E817FC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 9_12 TB</w:t>
            </w:r>
          </w:p>
          <w:p w14:paraId="390FBE6C"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Middle</w:t>
            </w:r>
          </w:p>
          <w:p w14:paraId="2C0919DD"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Persons_1_3</w:t>
            </w:r>
          </w:p>
          <w:p w14:paraId="74320AF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Thrice_a_week</w:t>
            </w:r>
          </w:p>
          <w:p w14:paraId="3EDAFA0C"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Unemployed</w:t>
            </w:r>
          </w:p>
          <w:p w14:paraId="71B77C3E"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Once a _month</w:t>
            </w:r>
          </w:p>
          <w:p w14:paraId="27264738"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Non-vaccinated</w:t>
            </w:r>
          </w:p>
          <w:p w14:paraId="0286EA04"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Separate room</w:t>
            </w:r>
          </w:p>
          <w:p w14:paraId="0CCC578D"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Sparse</w:t>
            </w:r>
          </w:p>
          <w:p w14:paraId="16476344"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Daily</w:t>
            </w:r>
          </w:p>
          <w:p w14:paraId="4BB7E429"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Cigarette1_5</w:t>
            </w:r>
          </w:p>
          <w:p w14:paraId="68B8D9E3"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Graduation</w:t>
            </w:r>
          </w:p>
          <w:p w14:paraId="168BCBA9"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Thrice a month</w:t>
            </w:r>
          </w:p>
          <w:p w14:paraId="0C10BEFB"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Unregistered</w:t>
            </w:r>
          </w:p>
          <w:p w14:paraId="797B5994"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Cigarette 6_10</w:t>
            </w:r>
          </w:p>
          <w:p w14:paraId="0C287E07"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Illiterate</w:t>
            </w:r>
          </w:p>
          <w:p w14:paraId="08777E61"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Retired</w:t>
            </w:r>
          </w:p>
          <w:p w14:paraId="38B59020" w14:textId="77777777" w:rsidR="00E36B3D" w:rsidRPr="00DB1CEA" w:rsidRDefault="00E450F3" w:rsidP="00DB4C7F">
            <w:pPr>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 xml:space="preserve">Addicted Twice </w:t>
            </w:r>
          </w:p>
          <w:p w14:paraId="6B380CAD" w14:textId="475C3DA4" w:rsidR="00E450F3" w:rsidRPr="00DB1CEA" w:rsidRDefault="00E450F3" w:rsidP="00DB4C7F">
            <w:pPr>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month</w:t>
            </w:r>
          </w:p>
          <w:p w14:paraId="604B46F3"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Smoker</w:t>
            </w:r>
          </w:p>
          <w:p w14:paraId="42EDCD17"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Income_10000_15000</w:t>
            </w:r>
          </w:p>
          <w:p w14:paraId="37E1CC04"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Any disease yes</w:t>
            </w:r>
          </w:p>
          <w:p w14:paraId="6C5C7511"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Married</w:t>
            </w:r>
          </w:p>
          <w:p w14:paraId="3203EF2F" w14:textId="77777777"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Widow</w:t>
            </w:r>
          </w:p>
          <w:p w14:paraId="6069F918" w14:textId="51E8CE08" w:rsidR="00E450F3" w:rsidRPr="00DB1CEA" w:rsidRDefault="00E450F3" w:rsidP="00DB4C7F">
            <w:pPr>
              <w:jc w:val="both"/>
              <w:rPr>
                <w:rFonts w:ascii="Garamond" w:hAnsi="Garamond" w:cs="Times New Roman"/>
                <w:bCs/>
                <w:color w:val="000000" w:themeColor="text1"/>
                <w:sz w:val="24"/>
                <w:szCs w:val="24"/>
              </w:rPr>
            </w:pPr>
            <w:r w:rsidRPr="00DB1CEA">
              <w:rPr>
                <w:rFonts w:ascii="Garamond" w:hAnsi="Garamond" w:cs="Times New Roman"/>
                <w:bCs/>
                <w:color w:val="000000" w:themeColor="text1"/>
                <w:sz w:val="24"/>
                <w:szCs w:val="24"/>
              </w:rPr>
              <w:t>Above10_cigarette</w:t>
            </w:r>
          </w:p>
        </w:tc>
        <w:tc>
          <w:tcPr>
            <w:tcW w:w="736" w:type="dxa"/>
            <w:tcBorders>
              <w:top w:val="single" w:sz="4" w:space="0" w:color="auto"/>
            </w:tcBorders>
          </w:tcPr>
          <w:p w14:paraId="5C8604C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lastRenderedPageBreak/>
              <w:t>.998</w:t>
            </w:r>
          </w:p>
          <w:p w14:paraId="1C72383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.993</w:t>
            </w:r>
          </w:p>
          <w:p w14:paraId="64E2408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.993</w:t>
            </w:r>
          </w:p>
          <w:p w14:paraId="56D1A87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.993</w:t>
            </w:r>
          </w:p>
          <w:p w14:paraId="4438FD5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.992</w:t>
            </w:r>
          </w:p>
          <w:p w14:paraId="595C45E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.991</w:t>
            </w:r>
          </w:p>
          <w:p w14:paraId="43F2917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.988</w:t>
            </w:r>
          </w:p>
          <w:p w14:paraId="4BC2BD2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.988</w:t>
            </w:r>
          </w:p>
          <w:p w14:paraId="08DF228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.980</w:t>
            </w:r>
          </w:p>
          <w:p w14:paraId="733BCEE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.975</w:t>
            </w:r>
          </w:p>
          <w:p w14:paraId="587D99E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.974</w:t>
            </w:r>
          </w:p>
          <w:p w14:paraId="658559D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.969</w:t>
            </w:r>
          </w:p>
          <w:p w14:paraId="47D3F4F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.965</w:t>
            </w:r>
          </w:p>
          <w:p w14:paraId="296A084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.959</w:t>
            </w:r>
          </w:p>
          <w:p w14:paraId="63CCE72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.957</w:t>
            </w:r>
          </w:p>
          <w:p w14:paraId="46CDC9E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.948</w:t>
            </w:r>
          </w:p>
          <w:p w14:paraId="5FC8200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.941</w:t>
            </w:r>
          </w:p>
          <w:p w14:paraId="1B81765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.941</w:t>
            </w:r>
          </w:p>
          <w:p w14:paraId="50A60AF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.938</w:t>
            </w:r>
          </w:p>
          <w:p w14:paraId="0CFEE53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.911</w:t>
            </w:r>
          </w:p>
          <w:p w14:paraId="29AC602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.903</w:t>
            </w:r>
          </w:p>
          <w:p w14:paraId="54F069B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.885</w:t>
            </w:r>
          </w:p>
          <w:p w14:paraId="261567C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.870</w:t>
            </w:r>
          </w:p>
          <w:p w14:paraId="1E3A26C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.868</w:t>
            </w:r>
          </w:p>
          <w:p w14:paraId="37EDE3E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.866</w:t>
            </w:r>
          </w:p>
          <w:p w14:paraId="3C4CDF5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.859</w:t>
            </w:r>
          </w:p>
          <w:p w14:paraId="6C2034C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.858</w:t>
            </w:r>
          </w:p>
          <w:p w14:paraId="2A9607B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.850</w:t>
            </w:r>
          </w:p>
          <w:p w14:paraId="58B2EBB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.845</w:t>
            </w:r>
          </w:p>
          <w:p w14:paraId="6308DAF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.842</w:t>
            </w:r>
          </w:p>
          <w:p w14:paraId="65C409C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.835</w:t>
            </w:r>
          </w:p>
          <w:p w14:paraId="2CB7A99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.818</w:t>
            </w:r>
          </w:p>
          <w:p w14:paraId="1CF1528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.783</w:t>
            </w:r>
          </w:p>
          <w:p w14:paraId="70F7F4F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.778</w:t>
            </w:r>
          </w:p>
          <w:p w14:paraId="737E4F9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.778</w:t>
            </w:r>
          </w:p>
          <w:p w14:paraId="4FC16C2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.773</w:t>
            </w:r>
          </w:p>
          <w:p w14:paraId="4A5E71C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.760</w:t>
            </w:r>
          </w:p>
          <w:p w14:paraId="243FAAD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.749</w:t>
            </w:r>
          </w:p>
          <w:p w14:paraId="398917B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.739</w:t>
            </w:r>
          </w:p>
          <w:p w14:paraId="5B60017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.738</w:t>
            </w:r>
          </w:p>
          <w:p w14:paraId="0D24928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.725</w:t>
            </w:r>
          </w:p>
          <w:p w14:paraId="4F1671F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.709</w:t>
            </w:r>
          </w:p>
          <w:p w14:paraId="2B1F665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.699</w:t>
            </w:r>
          </w:p>
          <w:p w14:paraId="6EA65F1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.696</w:t>
            </w:r>
          </w:p>
          <w:p w14:paraId="7F99D6E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.690</w:t>
            </w:r>
          </w:p>
          <w:p w14:paraId="4BD56F7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lastRenderedPageBreak/>
              <w:t>.678</w:t>
            </w:r>
          </w:p>
          <w:p w14:paraId="56233B6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.632</w:t>
            </w:r>
          </w:p>
          <w:p w14:paraId="20AB615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.629</w:t>
            </w:r>
          </w:p>
          <w:p w14:paraId="69C349C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.585</w:t>
            </w:r>
          </w:p>
          <w:p w14:paraId="03F185E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.522</w:t>
            </w:r>
          </w:p>
          <w:p w14:paraId="63AB7E8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.517</w:t>
            </w:r>
          </w:p>
          <w:p w14:paraId="4522126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.449</w:t>
            </w:r>
          </w:p>
          <w:p w14:paraId="4728E1F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.411</w:t>
            </w:r>
          </w:p>
          <w:p w14:paraId="0670C34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.375</w:t>
            </w:r>
          </w:p>
          <w:p w14:paraId="2F01384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.285</w:t>
            </w:r>
          </w:p>
          <w:p w14:paraId="5CD853A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.258</w:t>
            </w:r>
          </w:p>
          <w:p w14:paraId="720D39E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.242</w:t>
            </w:r>
          </w:p>
          <w:p w14:paraId="00733AC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.218</w:t>
            </w:r>
          </w:p>
          <w:p w14:paraId="5FA2681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.205</w:t>
            </w:r>
          </w:p>
          <w:p w14:paraId="7481047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.124</w:t>
            </w:r>
          </w:p>
          <w:p w14:paraId="1496208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.093</w:t>
            </w:r>
          </w:p>
          <w:p w14:paraId="5E6BA5D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.088</w:t>
            </w:r>
          </w:p>
          <w:p w14:paraId="62C673D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.070</w:t>
            </w:r>
          </w:p>
          <w:p w14:paraId="7257ACB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-.007</w:t>
            </w:r>
          </w:p>
          <w:p w14:paraId="2888E01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-.063</w:t>
            </w:r>
          </w:p>
          <w:p w14:paraId="260A7BE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-.111</w:t>
            </w:r>
          </w:p>
          <w:p w14:paraId="7B3FE55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-.120</w:t>
            </w:r>
          </w:p>
          <w:p w14:paraId="5D4E430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-.232</w:t>
            </w:r>
          </w:p>
          <w:p w14:paraId="1E6F1AB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-.279</w:t>
            </w:r>
          </w:p>
          <w:p w14:paraId="2760EC3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-.343</w:t>
            </w:r>
          </w:p>
          <w:p w14:paraId="4C53F9D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-.437</w:t>
            </w:r>
          </w:p>
          <w:p w14:paraId="4CA4757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-.450</w:t>
            </w:r>
          </w:p>
          <w:p w14:paraId="5C3C01B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-.463</w:t>
            </w:r>
          </w:p>
          <w:p w14:paraId="6FD1EF14" w14:textId="1437047D" w:rsidR="00E450F3" w:rsidRPr="00DB1CEA" w:rsidRDefault="00E450F3" w:rsidP="00DB4C7F">
            <w:pPr>
              <w:pStyle w:val="EndNoteBibliography"/>
              <w:jc w:val="center"/>
              <w:rPr>
                <w:rFonts w:ascii="Garamond" w:hAnsi="Garamond"/>
                <w:bCs/>
                <w:color w:val="000000" w:themeColor="text1"/>
                <w:sz w:val="24"/>
                <w:szCs w:val="24"/>
              </w:rPr>
            </w:pPr>
            <w:r w:rsidRPr="00DB1CEA">
              <w:rPr>
                <w:rFonts w:ascii="Garamond" w:hAnsi="Garamond"/>
                <w:b/>
                <w:color w:val="000000" w:themeColor="text1"/>
                <w:sz w:val="24"/>
                <w:szCs w:val="24"/>
              </w:rPr>
              <w:t>-.948</w:t>
            </w:r>
          </w:p>
        </w:tc>
        <w:tc>
          <w:tcPr>
            <w:tcW w:w="2337" w:type="dxa"/>
            <w:gridSpan w:val="2"/>
            <w:tcBorders>
              <w:top w:val="single" w:sz="4" w:space="0" w:color="auto"/>
              <w:right w:val="single" w:sz="4" w:space="0" w:color="auto"/>
            </w:tcBorders>
          </w:tcPr>
          <w:p w14:paraId="63CDD34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lastRenderedPageBreak/>
              <w:t>Illiterate</w:t>
            </w:r>
          </w:p>
          <w:p w14:paraId="6A2FB5F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Cigarette6_10</w:t>
            </w:r>
          </w:p>
          <w:p w14:paraId="4365B1A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Cigarette1_5</w:t>
            </w:r>
          </w:p>
          <w:p w14:paraId="2F5C5DF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Retired</w:t>
            </w:r>
          </w:p>
          <w:p w14:paraId="058D4C2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Smoker</w:t>
            </w:r>
          </w:p>
          <w:p w14:paraId="18AE7CC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Addicted</w:t>
            </w:r>
          </w:p>
          <w:p w14:paraId="78F6DD7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Non_vaccineted</w:t>
            </w:r>
          </w:p>
          <w:p w14:paraId="319B67B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Widow</w:t>
            </w:r>
          </w:p>
          <w:p w14:paraId="31E69B9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Anydisease_yes</w:t>
            </w:r>
          </w:p>
          <w:p w14:paraId="76EBCDF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Twice_month</w:t>
            </w:r>
          </w:p>
          <w:p w14:paraId="4F495BF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Male</w:t>
            </w:r>
          </w:p>
          <w:p w14:paraId="4C59E77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Married</w:t>
            </w:r>
          </w:p>
          <w:p w14:paraId="3011F78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Un_Registered</w:t>
            </w:r>
          </w:p>
          <w:p w14:paraId="3C50F4F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years1_4TB</w:t>
            </w:r>
          </w:p>
          <w:p w14:paraId="08D19CAB"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Income_above 30000</w:t>
            </w:r>
          </w:p>
          <w:p w14:paraId="6C73FACD"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FPCured_No</w:t>
            </w:r>
          </w:p>
          <w:p w14:paraId="38696A8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Persons_1_3</w:t>
            </w:r>
          </w:p>
          <w:p w14:paraId="3F28B82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Sparse</w:t>
            </w:r>
          </w:p>
          <w:p w14:paraId="182D745B"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Rooms_4_6</w:t>
            </w:r>
          </w:p>
          <w:p w14:paraId="22D585C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Join</w:t>
            </w:r>
          </w:p>
          <w:p w14:paraId="7479D80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Unemployed</w:t>
            </w:r>
          </w:p>
          <w:p w14:paraId="0161F30B"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 10000_15000</w:t>
            </w:r>
          </w:p>
          <w:p w14:paraId="25B5A6C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Rooms_7_9</w:t>
            </w:r>
          </w:p>
          <w:p w14:paraId="44CB88C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FTN_No</w:t>
            </w:r>
          </w:p>
          <w:p w14:paraId="4F4AAB3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 1_4 TB</w:t>
            </w:r>
          </w:p>
          <w:p w14:paraId="7E96732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Above 10_cigarette</w:t>
            </w:r>
          </w:p>
          <w:p w14:paraId="6CCD99A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 eat_meat</w:t>
            </w:r>
          </w:p>
          <w:p w14:paraId="268BA15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Persons_above 9</w:t>
            </w:r>
          </w:p>
          <w:p w14:paraId="55B83C3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Persons_7_9</w:t>
            </w:r>
          </w:p>
          <w:p w14:paraId="17EB3F7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Separate_room</w:t>
            </w:r>
          </w:p>
          <w:p w14:paraId="36EE42CC"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 25000_30000</w:t>
            </w:r>
          </w:p>
          <w:p w14:paraId="6D85570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Middle</w:t>
            </w:r>
          </w:p>
          <w:p w14:paraId="2F68E6B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Once a week</w:t>
            </w:r>
          </w:p>
          <w:p w14:paraId="6666AF7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Employed</w:t>
            </w:r>
          </w:p>
          <w:p w14:paraId="0C6798D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 9_12 TB</w:t>
            </w:r>
          </w:p>
          <w:p w14:paraId="7D604E8B"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TBB_now_Yes</w:t>
            </w:r>
          </w:p>
          <w:p w14:paraId="72B218C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FMDied_No</w:t>
            </w:r>
          </w:p>
          <w:p w14:paraId="356DE59C"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GNH_No</w:t>
            </w:r>
          </w:p>
          <w:p w14:paraId="540E5E9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No_separete_room</w:t>
            </w:r>
          </w:p>
          <w:p w14:paraId="4650E88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AR_TB_No</w:t>
            </w:r>
          </w:p>
          <w:p w14:paraId="28F4888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TBB_now_No</w:t>
            </w:r>
          </w:p>
          <w:p w14:paraId="4826CA4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Non_Addicted</w:t>
            </w:r>
          </w:p>
          <w:p w14:paraId="132B162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Registered</w:t>
            </w:r>
          </w:p>
          <w:p w14:paraId="76FEBD5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Age groups</w:t>
            </w:r>
          </w:p>
          <w:p w14:paraId="25B3DD7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Congested</w:t>
            </w:r>
          </w:p>
          <w:p w14:paraId="00443D7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lastRenderedPageBreak/>
              <w:t>Thrice_month</w:t>
            </w:r>
          </w:p>
          <w:p w14:paraId="54F6647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Twice_a_week</w:t>
            </w:r>
          </w:p>
          <w:p w14:paraId="0B78A3C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Labour</w:t>
            </w:r>
          </w:p>
          <w:p w14:paraId="2E2F4E1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GNH_Yes</w:t>
            </w:r>
          </w:p>
          <w:p w14:paraId="67D4024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Income_15000_25000</w:t>
            </w:r>
          </w:p>
          <w:p w14:paraId="4B67440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Non_smoker</w:t>
            </w:r>
          </w:p>
          <w:p w14:paraId="53AA17F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Low</w:t>
            </w:r>
          </w:p>
          <w:p w14:paraId="3F661A8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Anydisease_No</w:t>
            </w:r>
          </w:p>
          <w:p w14:paraId="4B145E9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Thrice_a_week</w:t>
            </w:r>
          </w:p>
          <w:p w14:paraId="677CE35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Personal_business</w:t>
            </w:r>
          </w:p>
          <w:p w14:paraId="3D2AC52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Once_a _month</w:t>
            </w:r>
          </w:p>
          <w:p w14:paraId="2CD9E0ED"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Intermediate</w:t>
            </w:r>
          </w:p>
          <w:p w14:paraId="3D96BEB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Rooms_1_3</w:t>
            </w:r>
          </w:p>
          <w:p w14:paraId="5B1E309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Primary</w:t>
            </w:r>
          </w:p>
          <w:p w14:paraId="303A013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FMDied_Yes</w:t>
            </w:r>
          </w:p>
          <w:p w14:paraId="3C4D935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High</w:t>
            </w:r>
          </w:p>
          <w:p w14:paraId="0719595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Matric</w:t>
            </w:r>
          </w:p>
          <w:p w14:paraId="7284A94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Un_married</w:t>
            </w:r>
          </w:p>
          <w:p w14:paraId="665E163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Vaccinated</w:t>
            </w:r>
          </w:p>
          <w:p w14:paraId="4287936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Divorce</w:t>
            </w:r>
          </w:p>
          <w:p w14:paraId="662E923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Persons_4_6</w:t>
            </w:r>
          </w:p>
          <w:p w14:paraId="23ABF98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FTN_Yes</w:t>
            </w:r>
          </w:p>
          <w:p w14:paraId="178FCC8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Months5_8TB</w:t>
            </w:r>
          </w:p>
          <w:p w14:paraId="02A69B9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Graduation</w:t>
            </w:r>
          </w:p>
          <w:p w14:paraId="4CAB679D"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FPCured_Yes</w:t>
            </w:r>
          </w:p>
          <w:p w14:paraId="66B2CCA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Daily</w:t>
            </w:r>
          </w:p>
          <w:p w14:paraId="7460F7C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Nucleated</w:t>
            </w:r>
          </w:p>
          <w:p w14:paraId="470D9AF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Female</w:t>
            </w:r>
          </w:p>
          <w:p w14:paraId="0B263842" w14:textId="51267411"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Middle</w:t>
            </w:r>
          </w:p>
        </w:tc>
        <w:tc>
          <w:tcPr>
            <w:tcW w:w="708" w:type="dxa"/>
            <w:tcBorders>
              <w:top w:val="single" w:sz="4" w:space="0" w:color="auto"/>
              <w:left w:val="single" w:sz="4" w:space="0" w:color="auto"/>
              <w:bottom w:val="single" w:sz="4" w:space="0" w:color="auto"/>
              <w:right w:val="single" w:sz="4" w:space="0" w:color="auto"/>
            </w:tcBorders>
          </w:tcPr>
          <w:p w14:paraId="5448EAA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lastRenderedPageBreak/>
              <w:t>.996</w:t>
            </w:r>
          </w:p>
          <w:p w14:paraId="0C5F0F1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.991</w:t>
            </w:r>
          </w:p>
          <w:p w14:paraId="35D2B9F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.984</w:t>
            </w:r>
          </w:p>
          <w:p w14:paraId="70347BE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.965</w:t>
            </w:r>
          </w:p>
          <w:p w14:paraId="2881A0C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.960</w:t>
            </w:r>
          </w:p>
          <w:p w14:paraId="1002197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.956</w:t>
            </w:r>
          </w:p>
          <w:p w14:paraId="3B97808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.935</w:t>
            </w:r>
          </w:p>
          <w:p w14:paraId="3E2BCCB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.874</w:t>
            </w:r>
          </w:p>
          <w:p w14:paraId="315A198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.870</w:t>
            </w:r>
          </w:p>
          <w:p w14:paraId="6891D94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.795</w:t>
            </w:r>
          </w:p>
          <w:p w14:paraId="3E489FE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.775</w:t>
            </w:r>
          </w:p>
          <w:p w14:paraId="032C36F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.772</w:t>
            </w:r>
          </w:p>
          <w:p w14:paraId="524582D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.755</w:t>
            </w:r>
          </w:p>
          <w:p w14:paraId="4FB9352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.706</w:t>
            </w:r>
          </w:p>
          <w:p w14:paraId="0F3992E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.533</w:t>
            </w:r>
          </w:p>
          <w:p w14:paraId="2EC5916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.501</w:t>
            </w:r>
          </w:p>
          <w:p w14:paraId="6C68861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.465</w:t>
            </w:r>
          </w:p>
          <w:p w14:paraId="00EE1B5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.465</w:t>
            </w:r>
          </w:p>
          <w:p w14:paraId="499BCEE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.443</w:t>
            </w:r>
          </w:p>
          <w:p w14:paraId="795DDFF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.435</w:t>
            </w:r>
          </w:p>
          <w:p w14:paraId="21650C4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.428</w:t>
            </w:r>
          </w:p>
          <w:p w14:paraId="3C95A13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.312</w:t>
            </w:r>
          </w:p>
          <w:p w14:paraId="5357950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.297</w:t>
            </w:r>
          </w:p>
          <w:p w14:paraId="61FBF3C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.244</w:t>
            </w:r>
          </w:p>
          <w:p w14:paraId="19C4A7F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.220</w:t>
            </w:r>
          </w:p>
          <w:p w14:paraId="286B58F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.195</w:t>
            </w:r>
          </w:p>
          <w:p w14:paraId="3940A6B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.116</w:t>
            </w:r>
          </w:p>
          <w:p w14:paraId="0049848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.114</w:t>
            </w:r>
          </w:p>
          <w:p w14:paraId="1F6E80D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.113</w:t>
            </w:r>
          </w:p>
          <w:p w14:paraId="6D51A8B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.106</w:t>
            </w:r>
          </w:p>
          <w:p w14:paraId="70C2A9A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.102</w:t>
            </w:r>
          </w:p>
          <w:p w14:paraId="76F373F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.096</w:t>
            </w:r>
          </w:p>
          <w:p w14:paraId="74B48DC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.074</w:t>
            </w:r>
          </w:p>
          <w:p w14:paraId="4DB06E1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.052</w:t>
            </w:r>
          </w:p>
          <w:p w14:paraId="047CAEB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.041</w:t>
            </w:r>
          </w:p>
          <w:p w14:paraId="3E468E9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.033</w:t>
            </w:r>
          </w:p>
          <w:p w14:paraId="33D861D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.021</w:t>
            </w:r>
          </w:p>
          <w:p w14:paraId="0F2D3C3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-.056</w:t>
            </w:r>
          </w:p>
          <w:p w14:paraId="556AA5D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-.077</w:t>
            </w:r>
          </w:p>
          <w:p w14:paraId="776865D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-.085</w:t>
            </w:r>
          </w:p>
          <w:p w14:paraId="7B16FEC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-.100</w:t>
            </w:r>
          </w:p>
          <w:p w14:paraId="3C39223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-.110</w:t>
            </w:r>
          </w:p>
          <w:p w14:paraId="76E3411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-.112</w:t>
            </w:r>
          </w:p>
          <w:p w14:paraId="0744314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-.112</w:t>
            </w:r>
          </w:p>
          <w:p w14:paraId="5E22125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-.116</w:t>
            </w:r>
          </w:p>
          <w:p w14:paraId="5C26158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lastRenderedPageBreak/>
              <w:t>-.184</w:t>
            </w:r>
          </w:p>
          <w:p w14:paraId="3C15B7C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-.198</w:t>
            </w:r>
          </w:p>
          <w:p w14:paraId="283873A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-.206</w:t>
            </w:r>
          </w:p>
          <w:p w14:paraId="18B8F0F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-.234</w:t>
            </w:r>
          </w:p>
          <w:p w14:paraId="0A01B2F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-.234</w:t>
            </w:r>
          </w:p>
          <w:p w14:paraId="7E3A6E4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-.280</w:t>
            </w:r>
          </w:p>
          <w:p w14:paraId="22A5E33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-.285</w:t>
            </w:r>
          </w:p>
          <w:p w14:paraId="5109FEF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-.300</w:t>
            </w:r>
          </w:p>
          <w:p w14:paraId="0786D84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-.317</w:t>
            </w:r>
          </w:p>
          <w:p w14:paraId="5B238BA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-.321</w:t>
            </w:r>
          </w:p>
          <w:p w14:paraId="7DB2906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-.349</w:t>
            </w:r>
          </w:p>
          <w:p w14:paraId="465A21A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-.357</w:t>
            </w:r>
          </w:p>
          <w:p w14:paraId="0ACA992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-.404</w:t>
            </w:r>
          </w:p>
          <w:p w14:paraId="1961521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-.408</w:t>
            </w:r>
          </w:p>
          <w:p w14:paraId="4596302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-.460</w:t>
            </w:r>
          </w:p>
          <w:p w14:paraId="2DC29AD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-.461</w:t>
            </w:r>
          </w:p>
          <w:p w14:paraId="1DBC07C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-.505</w:t>
            </w:r>
          </w:p>
          <w:p w14:paraId="5183EC1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-.519</w:t>
            </w:r>
          </w:p>
          <w:p w14:paraId="4D04CCB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-.520</w:t>
            </w:r>
          </w:p>
          <w:p w14:paraId="4C2DDE8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-.549</w:t>
            </w:r>
          </w:p>
          <w:p w14:paraId="16BE78F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-.574</w:t>
            </w:r>
          </w:p>
          <w:p w14:paraId="2432B39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-.578</w:t>
            </w:r>
          </w:p>
          <w:p w14:paraId="4820228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-.589</w:t>
            </w:r>
          </w:p>
          <w:p w14:paraId="13D9BF9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-.590</w:t>
            </w:r>
          </w:p>
          <w:p w14:paraId="23977A7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-.593</w:t>
            </w:r>
          </w:p>
          <w:p w14:paraId="0542F29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-.594</w:t>
            </w:r>
          </w:p>
          <w:p w14:paraId="7460606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-.598</w:t>
            </w:r>
          </w:p>
          <w:p w14:paraId="305ED39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-.648</w:t>
            </w:r>
          </w:p>
          <w:p w14:paraId="47DCE2AA" w14:textId="1DB3EAAE" w:rsidR="00E450F3" w:rsidRPr="00DB1CEA" w:rsidRDefault="00E450F3" w:rsidP="00DB4C7F">
            <w:pPr>
              <w:pStyle w:val="EndNoteBibliography"/>
              <w:jc w:val="center"/>
              <w:rPr>
                <w:rFonts w:ascii="Garamond" w:hAnsi="Garamond"/>
                <w:bCs/>
                <w:color w:val="000000" w:themeColor="text1"/>
                <w:sz w:val="24"/>
                <w:szCs w:val="24"/>
              </w:rPr>
            </w:pPr>
            <w:r w:rsidRPr="00DB1CEA">
              <w:rPr>
                <w:rFonts w:ascii="Garamond" w:hAnsi="Garamond"/>
                <w:b/>
                <w:color w:val="000000" w:themeColor="text1"/>
                <w:sz w:val="24"/>
                <w:szCs w:val="24"/>
              </w:rPr>
              <w:t>-.830</w:t>
            </w:r>
          </w:p>
        </w:tc>
        <w:tc>
          <w:tcPr>
            <w:tcW w:w="2426" w:type="dxa"/>
            <w:gridSpan w:val="2"/>
            <w:tcBorders>
              <w:top w:val="single" w:sz="4" w:space="0" w:color="auto"/>
              <w:left w:val="single" w:sz="4" w:space="0" w:color="auto"/>
            </w:tcBorders>
          </w:tcPr>
          <w:p w14:paraId="7FF0822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lastRenderedPageBreak/>
              <w:t>Separate_room</w:t>
            </w:r>
          </w:p>
          <w:p w14:paraId="48BCF4D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Thrice_a_week</w:t>
            </w:r>
          </w:p>
          <w:p w14:paraId="1408E50C"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Graduation</w:t>
            </w:r>
          </w:p>
          <w:p w14:paraId="3447BF2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Income_25000_30000</w:t>
            </w:r>
          </w:p>
          <w:p w14:paraId="3F7CDAB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TBB_now_Yes</w:t>
            </w:r>
          </w:p>
          <w:p w14:paraId="33DF640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Intermediate</w:t>
            </w:r>
          </w:p>
          <w:p w14:paraId="1C0CB68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Twice_month</w:t>
            </w:r>
          </w:p>
          <w:p w14:paraId="2EC276E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Personal_business</w:t>
            </w:r>
          </w:p>
          <w:p w14:paraId="7557BE4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High-Residence level</w:t>
            </w:r>
          </w:p>
          <w:p w14:paraId="422A8AA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Rooms_4_6</w:t>
            </w:r>
          </w:p>
          <w:p w14:paraId="7515BD4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Persons_above9</w:t>
            </w:r>
          </w:p>
          <w:p w14:paraId="5E0AFE6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Married</w:t>
            </w:r>
          </w:p>
          <w:p w14:paraId="66CE4C1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Twice_a_week</w:t>
            </w:r>
          </w:p>
          <w:p w14:paraId="134B1C8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Sparse-area</w:t>
            </w:r>
          </w:p>
          <w:p w14:paraId="439223A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Months5_8TB</w:t>
            </w:r>
          </w:p>
          <w:p w14:paraId="586EE23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Divorce</w:t>
            </w:r>
          </w:p>
          <w:p w14:paraId="30E906F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Join-family</w:t>
            </w:r>
          </w:p>
          <w:p w14:paraId="76BCE0E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 above 30000</w:t>
            </w:r>
          </w:p>
          <w:p w14:paraId="470E1B4C"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Addicted</w:t>
            </w:r>
          </w:p>
          <w:p w14:paraId="033A10CC"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Persons_7_9</w:t>
            </w:r>
          </w:p>
          <w:p w14:paraId="65A321F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Middle</w:t>
            </w:r>
          </w:p>
          <w:p w14:paraId="3E5A37D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Rooms_7_9</w:t>
            </w:r>
          </w:p>
          <w:p w14:paraId="261C949D"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FPCured_Yes</w:t>
            </w:r>
          </w:p>
          <w:p w14:paraId="317E014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Employed</w:t>
            </w:r>
          </w:p>
          <w:p w14:paraId="4A04147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Female</w:t>
            </w:r>
          </w:p>
          <w:p w14:paraId="199266B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Cigarette 1_5</w:t>
            </w:r>
          </w:p>
          <w:p w14:paraId="207A23A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GNH_No</w:t>
            </w:r>
          </w:p>
          <w:p w14:paraId="08B6ED4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Registered</w:t>
            </w:r>
          </w:p>
          <w:p w14:paraId="6CBA73D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Age groups</w:t>
            </w:r>
          </w:p>
          <w:p w14:paraId="47FA18C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AR_TB_No</w:t>
            </w:r>
          </w:p>
          <w:p w14:paraId="60947974"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Non_vacineted</w:t>
            </w:r>
          </w:p>
          <w:p w14:paraId="3B04531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Non_smoker</w:t>
            </w:r>
          </w:p>
          <w:p w14:paraId="2FF3C40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Non_Addicted</w:t>
            </w:r>
          </w:p>
          <w:p w14:paraId="35B3853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FMDied_No</w:t>
            </w:r>
          </w:p>
          <w:p w14:paraId="4309D4C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Vaccinated</w:t>
            </w:r>
          </w:p>
          <w:p w14:paraId="6B34118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FTN_No</w:t>
            </w:r>
          </w:p>
          <w:p w14:paraId="47908BC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FTN_Yes</w:t>
            </w:r>
          </w:p>
          <w:p w14:paraId="0F50471D"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Congested</w:t>
            </w:r>
          </w:p>
          <w:p w14:paraId="15C4DEE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Anydisease_No</w:t>
            </w:r>
          </w:p>
          <w:p w14:paraId="3CA7322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TBB_now_No</w:t>
            </w:r>
          </w:p>
          <w:p w14:paraId="753D03B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Anydisease_yes</w:t>
            </w:r>
          </w:p>
          <w:p w14:paraId="40C5ABF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Smoker</w:t>
            </w:r>
          </w:p>
          <w:p w14:paraId="7A6262F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Illiterate</w:t>
            </w:r>
          </w:p>
          <w:p w14:paraId="2B7B87D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Once_a_week</w:t>
            </w:r>
          </w:p>
          <w:p w14:paraId="3D16B1A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Persons_1_3</w:t>
            </w:r>
          </w:p>
          <w:p w14:paraId="2AA9FAC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lastRenderedPageBreak/>
              <w:t>Months 1_4 TB</w:t>
            </w:r>
          </w:p>
          <w:p w14:paraId="56069D73"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FMDied_Yes</w:t>
            </w:r>
          </w:p>
          <w:p w14:paraId="56D339F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FPCured_No</w:t>
            </w:r>
          </w:p>
          <w:p w14:paraId="006395DF"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Cigarette 6_10</w:t>
            </w:r>
          </w:p>
          <w:p w14:paraId="07793706"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Nucleated</w:t>
            </w:r>
          </w:p>
          <w:p w14:paraId="50409EB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Male</w:t>
            </w:r>
          </w:p>
          <w:p w14:paraId="5A14FFC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Income_15000_25000</w:t>
            </w:r>
          </w:p>
          <w:p w14:paraId="72A4454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Widow</w:t>
            </w:r>
          </w:p>
          <w:p w14:paraId="2302E7E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Matric</w:t>
            </w:r>
          </w:p>
          <w:p w14:paraId="418634A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Retired</w:t>
            </w:r>
          </w:p>
          <w:p w14:paraId="549E8797"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Above 10_cigarette</w:t>
            </w:r>
          </w:p>
          <w:p w14:paraId="60C48A0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Middle</w:t>
            </w:r>
          </w:p>
          <w:p w14:paraId="6EF087D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No_separete_room</w:t>
            </w:r>
          </w:p>
          <w:p w14:paraId="1C97ED4B"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Un_married</w:t>
            </w:r>
          </w:p>
          <w:p w14:paraId="0B7713E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Years 1_4 TB</w:t>
            </w:r>
          </w:p>
          <w:p w14:paraId="7243BE4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Rooms_1_3</w:t>
            </w:r>
          </w:p>
          <w:p w14:paraId="2BE8054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Labour</w:t>
            </w:r>
          </w:p>
          <w:p w14:paraId="7F1E8FDC"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Primary</w:t>
            </w:r>
          </w:p>
          <w:p w14:paraId="5281F7C9"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GNH_Yes</w:t>
            </w:r>
          </w:p>
          <w:p w14:paraId="5F0BC67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Persons_4_6</w:t>
            </w:r>
          </w:p>
          <w:p w14:paraId="61C8B08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Unemployed</w:t>
            </w:r>
          </w:p>
          <w:p w14:paraId="6B28C57E"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No_eat_meat</w:t>
            </w:r>
          </w:p>
          <w:p w14:paraId="162D5130"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Un_Registered</w:t>
            </w:r>
          </w:p>
          <w:p w14:paraId="63904CD1"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Months 9_12 TB</w:t>
            </w:r>
          </w:p>
          <w:p w14:paraId="31DFD87A"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Low</w:t>
            </w:r>
          </w:p>
          <w:p w14:paraId="73807F08"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Income 10000_15000</w:t>
            </w:r>
          </w:p>
          <w:p w14:paraId="23965762"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Daily</w:t>
            </w:r>
          </w:p>
          <w:p w14:paraId="59A31FA5" w14:textId="77777777"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Once_a _month</w:t>
            </w:r>
          </w:p>
          <w:p w14:paraId="7C881D97" w14:textId="25ACE6F6" w:rsidR="00E450F3" w:rsidRPr="00DB1CEA" w:rsidRDefault="00E450F3" w:rsidP="00DB4C7F">
            <w:pPr>
              <w:pStyle w:val="EndNoteBibliography"/>
              <w:rPr>
                <w:rFonts w:ascii="Garamond" w:hAnsi="Garamond"/>
                <w:bCs/>
                <w:color w:val="000000" w:themeColor="text1"/>
                <w:sz w:val="24"/>
                <w:szCs w:val="24"/>
              </w:rPr>
            </w:pPr>
            <w:r w:rsidRPr="00DB1CEA">
              <w:rPr>
                <w:rFonts w:ascii="Garamond" w:hAnsi="Garamond"/>
                <w:bCs/>
                <w:color w:val="000000" w:themeColor="text1"/>
                <w:sz w:val="24"/>
                <w:szCs w:val="24"/>
              </w:rPr>
              <w:t>Thrice_month</w:t>
            </w:r>
          </w:p>
        </w:tc>
        <w:tc>
          <w:tcPr>
            <w:tcW w:w="816" w:type="dxa"/>
            <w:tcBorders>
              <w:top w:val="single" w:sz="4" w:space="0" w:color="auto"/>
            </w:tcBorders>
          </w:tcPr>
          <w:p w14:paraId="0CE42CD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lastRenderedPageBreak/>
              <w:t>.964</w:t>
            </w:r>
          </w:p>
          <w:p w14:paraId="2898AE5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.824</w:t>
            </w:r>
          </w:p>
          <w:p w14:paraId="0464F39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.743</w:t>
            </w:r>
          </w:p>
          <w:p w14:paraId="2FE25D6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.704</w:t>
            </w:r>
          </w:p>
          <w:p w14:paraId="1A25CE9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.570</w:t>
            </w:r>
          </w:p>
          <w:p w14:paraId="3773946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.566</w:t>
            </w:r>
          </w:p>
          <w:p w14:paraId="6812196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.558</w:t>
            </w:r>
          </w:p>
          <w:p w14:paraId="19663FC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.536</w:t>
            </w:r>
          </w:p>
          <w:p w14:paraId="02AA166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.523</w:t>
            </w:r>
          </w:p>
          <w:p w14:paraId="5229539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.497</w:t>
            </w:r>
          </w:p>
          <w:p w14:paraId="1678A53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.410</w:t>
            </w:r>
          </w:p>
          <w:p w14:paraId="2D672C4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.389</w:t>
            </w:r>
          </w:p>
          <w:p w14:paraId="6A19D4C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.348</w:t>
            </w:r>
          </w:p>
          <w:p w14:paraId="7C052A0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.314</w:t>
            </w:r>
          </w:p>
          <w:p w14:paraId="6D2AA79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.273</w:t>
            </w:r>
          </w:p>
          <w:p w14:paraId="186CEDC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.273</w:t>
            </w:r>
          </w:p>
          <w:p w14:paraId="25E9D61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.262</w:t>
            </w:r>
          </w:p>
          <w:p w14:paraId="16C7D79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.258</w:t>
            </w:r>
          </w:p>
          <w:p w14:paraId="0BA5EF5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.222</w:t>
            </w:r>
          </w:p>
          <w:p w14:paraId="77DC3E70"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.211</w:t>
            </w:r>
          </w:p>
          <w:p w14:paraId="57543A5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.188</w:t>
            </w:r>
          </w:p>
          <w:p w14:paraId="554FB60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.185</w:t>
            </w:r>
          </w:p>
          <w:p w14:paraId="6E065BB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.178</w:t>
            </w:r>
          </w:p>
          <w:p w14:paraId="04F9786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.161</w:t>
            </w:r>
          </w:p>
          <w:p w14:paraId="718C4002"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.136</w:t>
            </w:r>
          </w:p>
          <w:p w14:paraId="2C8088F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.120</w:t>
            </w:r>
          </w:p>
          <w:p w14:paraId="5A12FF2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.102</w:t>
            </w:r>
          </w:p>
          <w:p w14:paraId="25D2BD4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.089</w:t>
            </w:r>
          </w:p>
          <w:p w14:paraId="20B4254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.089</w:t>
            </w:r>
          </w:p>
          <w:p w14:paraId="3A0728D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.085</w:t>
            </w:r>
          </w:p>
          <w:p w14:paraId="3FB70A0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.042</w:t>
            </w:r>
          </w:p>
          <w:p w14:paraId="6C08E91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.041</w:t>
            </w:r>
          </w:p>
          <w:p w14:paraId="2CE3E25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.039</w:t>
            </w:r>
          </w:p>
          <w:p w14:paraId="3D6DFCB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.039</w:t>
            </w:r>
          </w:p>
          <w:p w14:paraId="3F85CB2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.037</w:t>
            </w:r>
          </w:p>
          <w:p w14:paraId="0ACF97F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.037</w:t>
            </w:r>
          </w:p>
          <w:p w14:paraId="5905E82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.022</w:t>
            </w:r>
          </w:p>
          <w:p w14:paraId="52A7D89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.014</w:t>
            </w:r>
          </w:p>
          <w:p w14:paraId="0C2CEA1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.012</w:t>
            </w:r>
          </w:p>
          <w:p w14:paraId="321CD73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.010</w:t>
            </w:r>
          </w:p>
          <w:p w14:paraId="1778F33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.009</w:t>
            </w:r>
          </w:p>
          <w:p w14:paraId="161701C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-.003</w:t>
            </w:r>
          </w:p>
          <w:p w14:paraId="0BAB509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-.018</w:t>
            </w:r>
          </w:p>
          <w:p w14:paraId="463F4D8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-.027</w:t>
            </w:r>
          </w:p>
          <w:p w14:paraId="058F09DF"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-.032</w:t>
            </w:r>
          </w:p>
          <w:p w14:paraId="5B7A55D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lastRenderedPageBreak/>
              <w:t>-.048</w:t>
            </w:r>
          </w:p>
          <w:p w14:paraId="7F3C5B9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-.056</w:t>
            </w:r>
          </w:p>
          <w:p w14:paraId="4993AAE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-.057</w:t>
            </w:r>
          </w:p>
          <w:p w14:paraId="4110D03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-.119</w:t>
            </w:r>
          </w:p>
          <w:p w14:paraId="3D10957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-.126</w:t>
            </w:r>
          </w:p>
          <w:p w14:paraId="4042B4A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-.131</w:t>
            </w:r>
          </w:p>
          <w:p w14:paraId="5A19038B"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-.139</w:t>
            </w:r>
          </w:p>
          <w:p w14:paraId="0CA9D10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-.146</w:t>
            </w:r>
          </w:p>
          <w:p w14:paraId="69C4B1B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-.149</w:t>
            </w:r>
          </w:p>
          <w:p w14:paraId="39E3825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-.172</w:t>
            </w:r>
          </w:p>
          <w:p w14:paraId="680C25E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-.175</w:t>
            </w:r>
          </w:p>
          <w:p w14:paraId="3517417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-.175</w:t>
            </w:r>
          </w:p>
          <w:p w14:paraId="58379307"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-.182</w:t>
            </w:r>
          </w:p>
          <w:p w14:paraId="671045BD"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-.203</w:t>
            </w:r>
          </w:p>
          <w:p w14:paraId="76504776"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-.223</w:t>
            </w:r>
          </w:p>
          <w:p w14:paraId="00D277F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-.232</w:t>
            </w:r>
          </w:p>
          <w:p w14:paraId="255159E9"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-.263</w:t>
            </w:r>
          </w:p>
          <w:p w14:paraId="3CF2F9F1"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-.285</w:t>
            </w:r>
          </w:p>
          <w:p w14:paraId="506B5DAA"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-.363</w:t>
            </w:r>
          </w:p>
          <w:p w14:paraId="41F53373"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-.409</w:t>
            </w:r>
          </w:p>
          <w:p w14:paraId="76C3A3C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-.476</w:t>
            </w:r>
          </w:p>
          <w:p w14:paraId="4A701EA8"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-.485</w:t>
            </w:r>
          </w:p>
          <w:p w14:paraId="4A54E09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-.545</w:t>
            </w:r>
          </w:p>
          <w:p w14:paraId="35388DE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-.556</w:t>
            </w:r>
          </w:p>
          <w:p w14:paraId="55A854E5"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-.574</w:t>
            </w:r>
          </w:p>
          <w:p w14:paraId="35CDB2B4"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-.581</w:t>
            </w:r>
          </w:p>
          <w:p w14:paraId="2F4D713E"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-.776</w:t>
            </w:r>
          </w:p>
          <w:p w14:paraId="48FE26CC" w14:textId="77777777"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-.784</w:t>
            </w:r>
          </w:p>
          <w:p w14:paraId="3875A550" w14:textId="1A3EE2B0" w:rsidR="00E450F3" w:rsidRPr="00DB1CEA" w:rsidRDefault="00E450F3" w:rsidP="00DB4C7F">
            <w:pPr>
              <w:pStyle w:val="EndNoteBibliography"/>
              <w:jc w:val="center"/>
              <w:rPr>
                <w:rFonts w:ascii="Garamond" w:hAnsi="Garamond"/>
                <w:b/>
                <w:color w:val="000000" w:themeColor="text1"/>
                <w:sz w:val="24"/>
                <w:szCs w:val="24"/>
              </w:rPr>
            </w:pPr>
            <w:r w:rsidRPr="00DB1CEA">
              <w:rPr>
                <w:rFonts w:ascii="Garamond" w:hAnsi="Garamond"/>
                <w:b/>
                <w:color w:val="000000" w:themeColor="text1"/>
                <w:sz w:val="24"/>
                <w:szCs w:val="24"/>
              </w:rPr>
              <w:t>-.949</w:t>
            </w:r>
          </w:p>
        </w:tc>
      </w:tr>
    </w:tbl>
    <w:bookmarkEnd w:id="3"/>
    <w:p w14:paraId="593B080D" w14:textId="5F658CE0" w:rsidR="00E450F3" w:rsidRPr="00DB1CEA" w:rsidRDefault="00E450F3" w:rsidP="00DB4C7F">
      <w:pPr>
        <w:spacing w:after="0" w:line="240" w:lineRule="auto"/>
        <w:jc w:val="both"/>
        <w:rPr>
          <w:rFonts w:ascii="Garamond" w:hAnsi="Garamond" w:cs="Times New Roman"/>
          <w:b/>
          <w:color w:val="000000" w:themeColor="text1"/>
          <w:sz w:val="24"/>
          <w:szCs w:val="24"/>
        </w:rPr>
      </w:pPr>
      <w:r w:rsidRPr="00DB1CEA">
        <w:rPr>
          <w:rFonts w:ascii="Garamond" w:hAnsi="Garamond" w:cs="Times New Roman"/>
          <w:b/>
          <w:color w:val="000000" w:themeColor="text1"/>
          <w:sz w:val="24"/>
          <w:szCs w:val="24"/>
        </w:rPr>
        <w:lastRenderedPageBreak/>
        <w:t xml:space="preserve">Factor III - Diet and </w:t>
      </w:r>
      <w:r w:rsidR="006C4698" w:rsidRPr="00DB1CEA">
        <w:rPr>
          <w:rFonts w:ascii="Garamond" w:hAnsi="Garamond" w:cs="Times New Roman"/>
          <w:b/>
          <w:color w:val="000000" w:themeColor="text1"/>
          <w:sz w:val="24"/>
          <w:szCs w:val="24"/>
        </w:rPr>
        <w:t>Diagnosis:</w:t>
      </w:r>
    </w:p>
    <w:p w14:paraId="76BF08B8" w14:textId="49F15A13" w:rsidR="00680FE2" w:rsidRPr="00DB1CEA" w:rsidRDefault="00680FE2" w:rsidP="00680FE2">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The third factor, as shown in Table 1, accounts for 13.83% of the variance, with the highest positive and negative loading values in the rotated matrix being 0.964 and -0.949, respectively. Positive significant values range from 0.964 to 0.523, while negative significant values span from 0.545 to -0.949. This factor pertains to diet and diagnosis and includes 15 significant values. The highest positive loadings are associated with consuming meat three times a week (0.82) and having a previous history of tuberculosis (0.57). The highest negative loadings are observed for consuming meat once a month (-0.784) and three times a month (-0.949). This underscores the relationship between diet and tuberculosis diagnosis, emphasizing the role of a balanced diet in disease management. Malnutrition, prevalent in many underdeveloped regions, including Pakistan, is often linked to poverty and food insecurity, contributing to weakened immune systems and increased susceptibility to diseases like tuberculosis.</w:t>
      </w:r>
    </w:p>
    <w:p w14:paraId="421B8F72" w14:textId="489938B5" w:rsidR="00E450F3" w:rsidRPr="00DB1CEA" w:rsidRDefault="00680FE2" w:rsidP="00680FE2">
      <w:pPr>
        <w:spacing w:after="0" w:line="240" w:lineRule="auto"/>
        <w:ind w:firstLine="720"/>
        <w:jc w:val="both"/>
        <w:rPr>
          <w:rFonts w:ascii="Garamond" w:hAnsi="Garamond"/>
          <w:color w:val="000000" w:themeColor="text1"/>
          <w:sz w:val="24"/>
          <w:szCs w:val="24"/>
        </w:rPr>
      </w:pPr>
      <w:r w:rsidRPr="00DB1CEA">
        <w:rPr>
          <w:rFonts w:ascii="Garamond" w:hAnsi="Garamond"/>
          <w:color w:val="000000" w:themeColor="text1"/>
          <w:sz w:val="24"/>
          <w:szCs w:val="24"/>
        </w:rPr>
        <w:t>PCA analysis indicates that diet and diagnosis factors show lower values in some regions of Pakistan, where access to nutritious food is limited. While a balanced diet is crucial for maintaining a strong immune system, the economically disadvantaged in industrialized areas such as Gujranwala often cannot afford it. The correlation between good nutrition and socioeconomic status is significant for assessing patients' risk factors. Furthermore, diagnosis is closely linked to awareness and education, with many individuals delaying treatment due to a lack of awareness. This highlights the need for improved health education and quality healthcare services.</w:t>
      </w:r>
    </w:p>
    <w:p w14:paraId="6053995D" w14:textId="77777777" w:rsidR="000302BC" w:rsidRDefault="000302BC" w:rsidP="00DB4C7F">
      <w:pPr>
        <w:spacing w:after="0" w:line="240" w:lineRule="auto"/>
        <w:jc w:val="both"/>
        <w:rPr>
          <w:rFonts w:ascii="Garamond" w:hAnsi="Garamond"/>
          <w:b/>
          <w:color w:val="000000" w:themeColor="text1"/>
          <w:sz w:val="24"/>
          <w:szCs w:val="24"/>
        </w:rPr>
      </w:pPr>
    </w:p>
    <w:p w14:paraId="365AE254" w14:textId="5BC99B31" w:rsidR="00E450F3" w:rsidRPr="00DB1CEA" w:rsidRDefault="00E450F3" w:rsidP="00DB4C7F">
      <w:pPr>
        <w:spacing w:after="0" w:line="240" w:lineRule="auto"/>
        <w:jc w:val="both"/>
        <w:rPr>
          <w:rFonts w:ascii="Garamond" w:hAnsi="Garamond"/>
          <w:b/>
          <w:color w:val="000000" w:themeColor="text1"/>
          <w:sz w:val="24"/>
          <w:szCs w:val="24"/>
        </w:rPr>
      </w:pPr>
      <w:r w:rsidRPr="00DB1CEA">
        <w:rPr>
          <w:rFonts w:ascii="Garamond" w:hAnsi="Garamond"/>
          <w:b/>
          <w:color w:val="000000" w:themeColor="text1"/>
          <w:sz w:val="24"/>
          <w:szCs w:val="24"/>
        </w:rPr>
        <w:lastRenderedPageBreak/>
        <w:t>Conclusion</w:t>
      </w:r>
      <w:r w:rsidR="008D08FE" w:rsidRPr="00DB1CEA">
        <w:rPr>
          <w:rFonts w:ascii="Garamond" w:hAnsi="Garamond"/>
          <w:b/>
          <w:color w:val="000000" w:themeColor="text1"/>
          <w:sz w:val="24"/>
          <w:szCs w:val="24"/>
        </w:rPr>
        <w:t>:</w:t>
      </w:r>
    </w:p>
    <w:p w14:paraId="57A98928" w14:textId="3FA9EB6D" w:rsidR="00E450F3" w:rsidRPr="00DB1CEA" w:rsidRDefault="008C2AC6" w:rsidP="00DB4C7F">
      <w:pPr>
        <w:spacing w:after="0" w:line="240" w:lineRule="auto"/>
        <w:ind w:firstLine="720"/>
        <w:jc w:val="both"/>
        <w:rPr>
          <w:rFonts w:ascii="Garamond" w:hAnsi="Garamond"/>
          <w:color w:val="000000" w:themeColor="text1"/>
          <w:sz w:val="24"/>
          <w:szCs w:val="24"/>
        </w:rPr>
      </w:pPr>
      <w:bookmarkStart w:id="4" w:name="_Hlk169967257"/>
      <w:r w:rsidRPr="00DB1CEA">
        <w:rPr>
          <w:rFonts w:ascii="Garamond" w:hAnsi="Garamond"/>
          <w:color w:val="000000" w:themeColor="text1"/>
          <w:sz w:val="24"/>
          <w:szCs w:val="24"/>
        </w:rPr>
        <w:t>Studies on the spatial epidemiology of tuberculosis in Gujranwala city have identified several key risk factors associated with the disease's spread. The most significant factors include low socio-economic status, poor education and literacy rates, high population density, and inadequate awareness about tuberculosis. Additional contributing factors are a high proportion of individuals in low-income jobs, overcrowded housing, and poor environmental conditions. Demographic data indicates that tuberculosis incidence is higher among males and that residents of Gujranwala often struggle to maintain a balanced diet. Smoking is also a notable risk factor, although patients are advised by doctors to quit this habit following diagnosis. These factors collectively contribute to the spread of tuberculosis in Gujranwala city, underscoring the urgent need for effective public health interventions to address the issue.</w:t>
      </w:r>
    </w:p>
    <w:p w14:paraId="3B0BA585" w14:textId="50E27CE4" w:rsidR="00256475" w:rsidRPr="00DB1CEA" w:rsidRDefault="00A5463F" w:rsidP="00DB4C7F">
      <w:pPr>
        <w:spacing w:after="0" w:line="240" w:lineRule="auto"/>
        <w:jc w:val="both"/>
        <w:rPr>
          <w:rFonts w:ascii="Garamond" w:hAnsi="Garamond"/>
          <w:b/>
          <w:sz w:val="24"/>
          <w:szCs w:val="24"/>
        </w:rPr>
      </w:pPr>
      <w:r w:rsidRPr="00DB1CEA">
        <w:rPr>
          <w:rFonts w:ascii="Garamond" w:hAnsi="Garamond"/>
          <w:b/>
          <w:sz w:val="24"/>
          <w:szCs w:val="24"/>
        </w:rPr>
        <w:t>Acknowledgement</w:t>
      </w:r>
      <w:r w:rsidR="00FD4D43" w:rsidRPr="00DB1CEA">
        <w:rPr>
          <w:rFonts w:ascii="Garamond" w:hAnsi="Garamond"/>
          <w:sz w:val="24"/>
          <w:szCs w:val="24"/>
        </w:rPr>
        <w:t>:</w:t>
      </w:r>
      <w:r w:rsidRPr="00DB1CEA">
        <w:rPr>
          <w:rFonts w:ascii="Garamond" w:hAnsi="Garamond"/>
          <w:sz w:val="24"/>
          <w:szCs w:val="24"/>
        </w:rPr>
        <w:t xml:space="preserve"> We are thankful to TB coordinator of Gujranwala Division for data. </w:t>
      </w:r>
    </w:p>
    <w:p w14:paraId="48D9BAA7" w14:textId="2476BF57" w:rsidR="00256475" w:rsidRPr="00DB1CEA" w:rsidRDefault="00256475" w:rsidP="00DB4C7F">
      <w:pPr>
        <w:spacing w:after="0" w:line="240" w:lineRule="auto"/>
        <w:jc w:val="both"/>
        <w:rPr>
          <w:rFonts w:ascii="Garamond" w:hAnsi="Garamond"/>
          <w:b/>
          <w:sz w:val="24"/>
          <w:szCs w:val="24"/>
        </w:rPr>
      </w:pPr>
      <w:r w:rsidRPr="00DB1CEA">
        <w:rPr>
          <w:rFonts w:ascii="Garamond" w:hAnsi="Garamond"/>
          <w:b/>
          <w:sz w:val="24"/>
          <w:szCs w:val="24"/>
        </w:rPr>
        <w:t>Author’s Contribution</w:t>
      </w:r>
      <w:r w:rsidR="00FD4D43" w:rsidRPr="00DB1CEA">
        <w:rPr>
          <w:rFonts w:ascii="Garamond" w:hAnsi="Garamond"/>
          <w:b/>
          <w:sz w:val="24"/>
          <w:szCs w:val="24"/>
        </w:rPr>
        <w:t>:</w:t>
      </w:r>
      <w:r w:rsidRPr="00DB1CEA">
        <w:rPr>
          <w:rFonts w:ascii="Garamond" w:hAnsi="Garamond"/>
          <w:b/>
          <w:sz w:val="24"/>
          <w:szCs w:val="24"/>
        </w:rPr>
        <w:t xml:space="preserve"> </w:t>
      </w:r>
      <w:r w:rsidR="00A5463F" w:rsidRPr="00DB1CEA">
        <w:rPr>
          <w:rFonts w:ascii="Garamond" w:hAnsi="Garamond"/>
          <w:b/>
          <w:sz w:val="24"/>
          <w:szCs w:val="24"/>
        </w:rPr>
        <w:t xml:space="preserve">MM </w:t>
      </w:r>
      <w:r w:rsidR="00A5463F" w:rsidRPr="00DB1CEA">
        <w:rPr>
          <w:rFonts w:ascii="Garamond" w:hAnsi="Garamond"/>
          <w:sz w:val="24"/>
          <w:szCs w:val="24"/>
        </w:rPr>
        <w:t>provide the concept of methodology and supervised the study</w:t>
      </w:r>
      <w:r w:rsidR="00A5463F" w:rsidRPr="00DB1CEA">
        <w:rPr>
          <w:rFonts w:ascii="Garamond" w:hAnsi="Garamond"/>
          <w:b/>
          <w:sz w:val="24"/>
          <w:szCs w:val="24"/>
        </w:rPr>
        <w:t xml:space="preserve">, TK </w:t>
      </w:r>
      <w:r w:rsidR="00A5463F" w:rsidRPr="00DB1CEA">
        <w:rPr>
          <w:rFonts w:ascii="Garamond" w:hAnsi="Garamond"/>
          <w:sz w:val="24"/>
          <w:szCs w:val="24"/>
        </w:rPr>
        <w:t>collection of data, field visits and write up</w:t>
      </w:r>
      <w:r w:rsidR="00A5463F" w:rsidRPr="00DB1CEA">
        <w:rPr>
          <w:rFonts w:ascii="Garamond" w:hAnsi="Garamond"/>
          <w:b/>
          <w:sz w:val="24"/>
          <w:szCs w:val="24"/>
        </w:rPr>
        <w:t xml:space="preserve">, NS </w:t>
      </w:r>
      <w:r w:rsidR="00A5463F" w:rsidRPr="00DB1CEA">
        <w:rPr>
          <w:rFonts w:ascii="Garamond" w:hAnsi="Garamond"/>
          <w:sz w:val="24"/>
          <w:szCs w:val="24"/>
        </w:rPr>
        <w:t>conducted statistical analysis,</w:t>
      </w:r>
      <w:r w:rsidR="00A5463F" w:rsidRPr="00DB1CEA">
        <w:rPr>
          <w:rFonts w:ascii="Garamond" w:hAnsi="Garamond"/>
          <w:b/>
          <w:sz w:val="24"/>
          <w:szCs w:val="24"/>
        </w:rPr>
        <w:t xml:space="preserve"> SB </w:t>
      </w:r>
      <w:r w:rsidR="00A5463F" w:rsidRPr="00DB1CEA">
        <w:rPr>
          <w:rFonts w:ascii="Garamond" w:hAnsi="Garamond"/>
          <w:sz w:val="24"/>
          <w:szCs w:val="24"/>
        </w:rPr>
        <w:t>write up of literature and review the manuscript.</w:t>
      </w:r>
    </w:p>
    <w:p w14:paraId="42A04BB7" w14:textId="2FDF110E" w:rsidR="00256475" w:rsidRPr="00DB1CEA" w:rsidRDefault="00256475" w:rsidP="00FD4D43">
      <w:pPr>
        <w:spacing w:after="0" w:line="240" w:lineRule="auto"/>
        <w:jc w:val="both"/>
        <w:rPr>
          <w:rFonts w:ascii="Garamond" w:hAnsi="Garamond"/>
          <w:b/>
          <w:sz w:val="24"/>
          <w:szCs w:val="24"/>
        </w:rPr>
      </w:pPr>
      <w:r w:rsidRPr="00DB1CEA">
        <w:rPr>
          <w:rFonts w:ascii="Garamond" w:hAnsi="Garamond"/>
          <w:b/>
          <w:sz w:val="24"/>
          <w:szCs w:val="24"/>
        </w:rPr>
        <w:t xml:space="preserve">Conflict of </w:t>
      </w:r>
      <w:r w:rsidR="00FD4D43" w:rsidRPr="00DB1CEA">
        <w:rPr>
          <w:rFonts w:ascii="Garamond" w:hAnsi="Garamond"/>
          <w:b/>
          <w:sz w:val="24"/>
          <w:szCs w:val="24"/>
        </w:rPr>
        <w:t>Interest:</w:t>
      </w:r>
      <w:r w:rsidRPr="00DB1CEA">
        <w:rPr>
          <w:rFonts w:ascii="Garamond" w:hAnsi="Garamond"/>
          <w:b/>
          <w:sz w:val="24"/>
          <w:szCs w:val="24"/>
        </w:rPr>
        <w:t xml:space="preserve"> </w:t>
      </w:r>
      <w:r w:rsidRPr="00DB1CEA">
        <w:rPr>
          <w:rFonts w:ascii="Garamond" w:hAnsi="Garamond"/>
          <w:sz w:val="24"/>
          <w:szCs w:val="24"/>
        </w:rPr>
        <w:t xml:space="preserve">Authors </w:t>
      </w:r>
      <w:r w:rsidR="00A5463F" w:rsidRPr="00DB1CEA">
        <w:rPr>
          <w:rFonts w:ascii="Garamond" w:hAnsi="Garamond"/>
          <w:sz w:val="24"/>
          <w:szCs w:val="24"/>
        </w:rPr>
        <w:t xml:space="preserve">declare no </w:t>
      </w:r>
      <w:r w:rsidRPr="00DB1CEA">
        <w:rPr>
          <w:rFonts w:ascii="Garamond" w:hAnsi="Garamond"/>
          <w:sz w:val="24"/>
          <w:szCs w:val="24"/>
        </w:rPr>
        <w:t>conflict of interest for publishing this manuscript in IJIST.</w:t>
      </w:r>
    </w:p>
    <w:p w14:paraId="7F3B6A15" w14:textId="7093EF6B" w:rsidR="00E450F3" w:rsidRPr="00DB1CEA" w:rsidRDefault="00E450F3" w:rsidP="00DB4C7F">
      <w:pPr>
        <w:spacing w:after="0" w:line="240" w:lineRule="auto"/>
        <w:jc w:val="both"/>
        <w:rPr>
          <w:rFonts w:ascii="Garamond" w:hAnsi="Garamond"/>
          <w:b/>
          <w:color w:val="000000" w:themeColor="text1"/>
          <w:sz w:val="24"/>
          <w:szCs w:val="24"/>
        </w:rPr>
      </w:pPr>
      <w:r w:rsidRPr="00DB1CEA">
        <w:rPr>
          <w:rFonts w:ascii="Garamond" w:hAnsi="Garamond"/>
          <w:b/>
          <w:color w:val="000000" w:themeColor="text1"/>
          <w:sz w:val="24"/>
          <w:szCs w:val="24"/>
        </w:rPr>
        <w:t>References</w:t>
      </w:r>
      <w:r w:rsidR="008D08FE" w:rsidRPr="00DB1CEA">
        <w:rPr>
          <w:rFonts w:ascii="Garamond" w:hAnsi="Garamond"/>
          <w:b/>
          <w:color w:val="000000" w:themeColor="text1"/>
          <w:sz w:val="24"/>
          <w:szCs w:val="24"/>
        </w:rPr>
        <w:t>:</w:t>
      </w:r>
    </w:p>
    <w:bookmarkEnd w:id="4"/>
    <w:p w14:paraId="1BF85F6B" w14:textId="71273EE7" w:rsidR="00E40D1B"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eastAsia="Garamond" w:hAnsi="Garamond" w:cs="Garamond"/>
          <w:color w:val="000000" w:themeColor="text1"/>
          <w:sz w:val="24"/>
          <w:szCs w:val="24"/>
        </w:rPr>
        <w:fldChar w:fldCharType="begin" w:fldLock="1"/>
      </w:r>
      <w:r w:rsidRPr="00DB1CEA">
        <w:rPr>
          <w:rFonts w:ascii="Garamond" w:eastAsia="Garamond" w:hAnsi="Garamond" w:cs="Garamond"/>
          <w:color w:val="000000" w:themeColor="text1"/>
          <w:sz w:val="24"/>
          <w:szCs w:val="24"/>
        </w:rPr>
        <w:instrText xml:space="preserve">ADDIN Mendeley Bibliography CSL_BIBLIOGRAPHY </w:instrText>
      </w:r>
      <w:r w:rsidRPr="00DB1CEA">
        <w:rPr>
          <w:rFonts w:ascii="Garamond" w:eastAsia="Garamond" w:hAnsi="Garamond" w:cs="Garamond"/>
          <w:color w:val="000000" w:themeColor="text1"/>
          <w:sz w:val="24"/>
          <w:szCs w:val="24"/>
        </w:rPr>
        <w:fldChar w:fldCharType="separate"/>
      </w:r>
      <w:r w:rsidRPr="00DB1CEA">
        <w:rPr>
          <w:rFonts w:ascii="Garamond" w:hAnsi="Garamond" w:cs="Times New Roman"/>
          <w:noProof/>
          <w:sz w:val="24"/>
          <w:szCs w:val="24"/>
        </w:rPr>
        <w:t>[1]</w:t>
      </w:r>
      <w:r w:rsidRPr="00DB1CEA">
        <w:rPr>
          <w:rFonts w:ascii="Garamond" w:hAnsi="Garamond" w:cs="Times New Roman"/>
          <w:noProof/>
          <w:sz w:val="24"/>
          <w:szCs w:val="24"/>
        </w:rPr>
        <w:tab/>
        <w:t>C. Zemouri, S. F. Awad, C. M. C. Volgenant, W. Crielaard, A. M. G. A. Laheij, and J. J. de Soet, “Modeling of the Transmission of Coronaviruses, Measles Virus, Influenza Virus, Mycobacterium tuberculosis, and Legionella pneumophila in Dental Clinics,” J. Dent. Res., vol. 99, no. 10, pp. 1192–1198, Sep. 2020, doi: 10.1177/0022034520940288/ASSET/IMAGES/LARGE/10.1177_0022034520940288-FIG1.JPEG.</w:t>
      </w:r>
    </w:p>
    <w:p w14:paraId="3E154806"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w:t>
      </w:r>
      <w:r w:rsidRPr="00DB1CEA">
        <w:rPr>
          <w:rFonts w:ascii="Garamond" w:hAnsi="Garamond" w:cs="Times New Roman"/>
          <w:noProof/>
          <w:sz w:val="24"/>
          <w:szCs w:val="24"/>
        </w:rPr>
        <w:tab/>
        <w:t>H. J. Zar and T. W. Ferkol, “The global burden of respiratory disease—Impact on child health,” Pediatr. Pulmonol., vol. 49, no. 5, pp. 430–434, May 2014, doi: 10.1002/PPUL.23030.</w:t>
      </w:r>
    </w:p>
    <w:p w14:paraId="5178D776"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[3]</w:t>
      </w:r>
      <w:r w:rsidRPr="00DB1CEA">
        <w:rPr>
          <w:rFonts w:ascii="Garamond" w:hAnsi="Garamond" w:cs="Times New Roman"/>
          <w:noProof/>
          <w:sz w:val="24"/>
          <w:szCs w:val="24"/>
        </w:rPr>
        <w:tab/>
        <w:t>K. Floyd, P. Glaziou, A. Zumla, and M. Raviglione, “The global tuberculosis epidemic and progress in care, prevention, and research: an overview in year 3 of the End TB era,” Lancet Respir. Med., vol. 6, no. 4, pp. 299–314, Apr. 2018, doi: 10.1016/S2213-2600(18)30057-2.</w:t>
      </w:r>
    </w:p>
    <w:p w14:paraId="23EEA475"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[4]</w:t>
      </w:r>
      <w:r w:rsidRPr="00DB1CEA">
        <w:rPr>
          <w:rFonts w:ascii="Garamond" w:hAnsi="Garamond" w:cs="Times New Roman"/>
          <w:noProof/>
          <w:sz w:val="24"/>
          <w:szCs w:val="24"/>
        </w:rPr>
        <w:tab/>
        <w:t>G. Sandhu, “Tuberculosis: Current situation, challenges and overview of its control programs in India,” J. Glob. Infect. Dis., vol. 3, no. 2, pp. 143–150, Apr. 2011, doi: 10.4103/0974-777X.81691.</w:t>
      </w:r>
    </w:p>
    <w:p w14:paraId="1527E723"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[5]</w:t>
      </w:r>
      <w:r w:rsidRPr="00DB1CEA">
        <w:rPr>
          <w:rFonts w:ascii="Garamond" w:hAnsi="Garamond" w:cs="Times New Roman"/>
          <w:noProof/>
          <w:sz w:val="24"/>
          <w:szCs w:val="24"/>
        </w:rPr>
        <w:tab/>
        <w:t>A. Rashid et al., “Ecological footprint of Rawalpindi; Pakistan’s first footprint analysis from urbanization perspective,” J. Clean. Prod., vol. 170, pp. 362–368, Jan. 2018, doi: 10.1016/J.JCLEPRO.2017.09.186.</w:t>
      </w:r>
    </w:p>
    <w:p w14:paraId="36DAD9E5"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[6]</w:t>
      </w:r>
      <w:r w:rsidRPr="00DB1CEA">
        <w:rPr>
          <w:rFonts w:ascii="Garamond" w:hAnsi="Garamond" w:cs="Times New Roman"/>
          <w:noProof/>
          <w:sz w:val="24"/>
          <w:szCs w:val="24"/>
        </w:rPr>
        <w:tab/>
        <w:t>G. Thornicroft, D. Rose, and A. Kassam, “Discrimination in health care against people with mental illness,” Int. Rev. Psychiatry, vol. 19, no. 2, pp. 113–122, Apr. 2007, doi: 10.1080/09540260701278937.</w:t>
      </w:r>
    </w:p>
    <w:p w14:paraId="04E5F82B" w14:textId="4AD65A0B"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[7]</w:t>
      </w:r>
      <w:r w:rsidRPr="00DB1CEA">
        <w:rPr>
          <w:rFonts w:ascii="Garamond" w:hAnsi="Garamond" w:cs="Times New Roman"/>
          <w:noProof/>
          <w:sz w:val="24"/>
          <w:szCs w:val="24"/>
        </w:rPr>
        <w:tab/>
        <w:t xml:space="preserve">R. Fatima et al., “Building sustainable operational research capacity in Pakistan: starting with tuberculosis and expanding to other public health problems,” Glob. Health Action, vol. 12, no. 1, Jan. </w:t>
      </w:r>
      <w:r w:rsidR="00877292" w:rsidRPr="00DB1CEA">
        <w:rPr>
          <w:rFonts w:ascii="Garamond" w:hAnsi="Garamond" w:cs="Times New Roman"/>
          <w:noProof/>
          <w:sz w:val="24"/>
          <w:szCs w:val="24"/>
        </w:rPr>
        <w:t>m</w:t>
      </w:r>
      <w:r w:rsidRPr="00DB1CEA">
        <w:rPr>
          <w:rFonts w:ascii="Garamond" w:hAnsi="Garamond" w:cs="Times New Roman"/>
          <w:noProof/>
          <w:sz w:val="24"/>
          <w:szCs w:val="24"/>
        </w:rPr>
        <w:t>, doi: 10.1080/16549716.2018.1555215.</w:t>
      </w:r>
      <w:r w:rsidR="00877292" w:rsidRPr="00DB1CEA">
        <w:rPr>
          <w:rFonts w:ascii="Garamond" w:hAnsi="Garamond" w:cs="Times New Roman"/>
          <w:noProof/>
          <w:sz w:val="24"/>
          <w:szCs w:val="24"/>
        </w:rPr>
        <w:t>mia</w:t>
      </w:r>
    </w:p>
    <w:p w14:paraId="056E3229"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[8]</w:t>
      </w:r>
      <w:r w:rsidRPr="00DB1CEA">
        <w:rPr>
          <w:rFonts w:ascii="Garamond" w:hAnsi="Garamond" w:cs="Times New Roman"/>
          <w:noProof/>
          <w:sz w:val="24"/>
          <w:szCs w:val="24"/>
        </w:rPr>
        <w:tab/>
        <w:t>R. Fatima, “Title: Assessing the burden of missing tuberculosis cases in Pakistan”.</w:t>
      </w:r>
    </w:p>
    <w:p w14:paraId="6F870CA2"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[9]</w:t>
      </w:r>
      <w:r w:rsidRPr="00DB1CEA">
        <w:rPr>
          <w:rFonts w:ascii="Garamond" w:hAnsi="Garamond" w:cs="Times New Roman"/>
          <w:noProof/>
          <w:sz w:val="24"/>
          <w:szCs w:val="24"/>
        </w:rPr>
        <w:tab/>
        <w:t>D. C. Ogbuabor and O. E. Onwujekwe, “Governance of tuberculosis control programme in Nigeria,” Infect. Dis. Poverty, vol. 8, no. 1, pp. 1–11, Jun. 2019, doi: 10.1186/S40249-019-0556-2/TABLES/2.</w:t>
      </w:r>
    </w:p>
    <w:p w14:paraId="2AFC9678"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[10]</w:t>
      </w:r>
      <w:r w:rsidRPr="00DB1CEA">
        <w:rPr>
          <w:rFonts w:ascii="Garamond" w:hAnsi="Garamond" w:cs="Times New Roman"/>
          <w:noProof/>
          <w:sz w:val="24"/>
          <w:szCs w:val="24"/>
        </w:rPr>
        <w:tab/>
        <w:t xml:space="preserve">V. Smelov et al., “Rationale and Purpose: The FLUTE Study to Evaluate Fluorography Mass Screening for Tuberculosis and Other Diseases, as Conducted in Eastern Europe and Central Asia Countries,” Int. J. Environ. Res. Public Heal. 2022, Vol. 19, Page 8706, </w:t>
      </w:r>
      <w:r w:rsidRPr="00DB1CEA">
        <w:rPr>
          <w:rFonts w:ascii="Garamond" w:hAnsi="Garamond" w:cs="Times New Roman"/>
          <w:noProof/>
          <w:sz w:val="24"/>
          <w:szCs w:val="24"/>
        </w:rPr>
        <w:lastRenderedPageBreak/>
        <w:t>vol. 19, no. 14, p. 8706, Jul. 2022, doi: 10.3390/IJERPH19148706.</w:t>
      </w:r>
    </w:p>
    <w:p w14:paraId="3725378F"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[11]</w:t>
      </w:r>
      <w:r w:rsidRPr="00DB1CEA">
        <w:rPr>
          <w:rFonts w:ascii="Garamond" w:hAnsi="Garamond" w:cs="Times New Roman"/>
          <w:noProof/>
          <w:sz w:val="24"/>
          <w:szCs w:val="24"/>
        </w:rPr>
        <w:tab/>
        <w:t>A. Bennett, A. L. V. Avanceña, J. Wegbreit, C. Cotter, K. Roberts, and R. Gosling, “Engaging the private sector in malaria surveillance: a review of strategies and recommendations for elimination settings,” Malar. J. 2017 161, vol. 16, no. 1, pp. 1–19, Jun. 2017, doi: 10.1186/S12936-017-1901-1.</w:t>
      </w:r>
    </w:p>
    <w:p w14:paraId="29D14B1B"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[12]</w:t>
      </w:r>
      <w:r w:rsidRPr="00DB1CEA">
        <w:rPr>
          <w:rFonts w:ascii="Garamond" w:hAnsi="Garamond" w:cs="Times New Roman"/>
          <w:noProof/>
          <w:sz w:val="24"/>
          <w:szCs w:val="24"/>
        </w:rPr>
        <w:tab/>
        <w:t>A. Shekar P, H. Patel, A. Dumra, D. Reddy, K. S. Shivakumar, and P. Satish Kumar, “Presentation, management and outcomes of pediatric urogenital tuberculosis: 20 years’ experience from a tertiary center,” J. Pediatr. Urol., vol. 17, no. 4, pp. 546.e1-546.e8, Aug. 2021, doi: 10.1016/j.jpurol.2021.04.002.</w:t>
      </w:r>
    </w:p>
    <w:p w14:paraId="5D3B22B3"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[13]</w:t>
      </w:r>
      <w:r w:rsidRPr="00DB1CEA">
        <w:rPr>
          <w:rFonts w:ascii="Garamond" w:hAnsi="Garamond" w:cs="Times New Roman"/>
          <w:noProof/>
          <w:sz w:val="24"/>
          <w:szCs w:val="24"/>
        </w:rPr>
        <w:tab/>
        <w:t>D. G. Storla, S. Yimer, and G. A. Bjune, “A systematic review of delay in the diagnosis and treatment of tuberculosis,” BMC Public Health, vol. 8, no. 1, pp. 1–9, Jan. 2008, doi: 10.1186/1471-2458-8-15/COMMENTS.</w:t>
      </w:r>
    </w:p>
    <w:p w14:paraId="40AF0957"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[14]</w:t>
      </w:r>
      <w:r w:rsidRPr="00DB1CEA">
        <w:rPr>
          <w:rFonts w:ascii="Garamond" w:hAnsi="Garamond" w:cs="Times New Roman"/>
          <w:noProof/>
          <w:sz w:val="24"/>
          <w:szCs w:val="24"/>
        </w:rPr>
        <w:tab/>
        <w:t>M. R. Sarwar and A. Saqib, “Cancer prevalence, incidence and mortality rates in Pakistan in 2012,” Cogent Med., vol. 4, no. 1, p. 1288773, Jan. 2017, doi: 10.1080/2331205X.2017.1288773.</w:t>
      </w:r>
    </w:p>
    <w:p w14:paraId="1606200E"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[15]</w:t>
      </w:r>
      <w:r w:rsidRPr="00DB1CEA">
        <w:rPr>
          <w:rFonts w:ascii="Garamond" w:hAnsi="Garamond" w:cs="Times New Roman"/>
          <w:noProof/>
          <w:sz w:val="24"/>
          <w:szCs w:val="24"/>
        </w:rPr>
        <w:tab/>
        <w:t>K. Lönnroth et al., “Towards tuberculosis elimination: an action framework for low-incidence countries,” Eur. Respir. J., vol. 45, no. 4, pp. 928–952, Apr. 2015, doi: 10.1183/09031936.00214014.</w:t>
      </w:r>
    </w:p>
    <w:p w14:paraId="04087D93"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[16]</w:t>
      </w:r>
      <w:r w:rsidRPr="00DB1CEA">
        <w:rPr>
          <w:rFonts w:ascii="Garamond" w:hAnsi="Garamond" w:cs="Times New Roman"/>
          <w:noProof/>
          <w:sz w:val="24"/>
          <w:szCs w:val="24"/>
        </w:rPr>
        <w:tab/>
        <w:t>C. Mukhopadhyay, T. Shaw, G. M. Varghese, and D. A. B. Dance, “Melioidosis in South Asia (India, Nepal, Pakistan, Bhutan and Afghanistan),” Trop. Med. Infect. Dis. 2018, Vol. 3, Page 51, vol. 3, no. 2, p. 51, May 2018, doi: 10.3390/TROPICALMED3020051.</w:t>
      </w:r>
    </w:p>
    <w:p w14:paraId="54C624A0"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[17]</w:t>
      </w:r>
      <w:r w:rsidRPr="00DB1CEA">
        <w:rPr>
          <w:rFonts w:ascii="Garamond" w:hAnsi="Garamond" w:cs="Times New Roman"/>
          <w:noProof/>
          <w:sz w:val="24"/>
          <w:szCs w:val="24"/>
        </w:rPr>
        <w:tab/>
        <w:t>W. S. Stevens, L. Scott, L. Noble, N. Gous, and K. Dheda, “Impact of the GeneXpert MTB/RIF Technology on Tuberculosis Control,” Tuberc. Tuber. Bacillus Second Ed., pp. 389–410, Sep. 2017, doi: 10.1128/9781555819569.CH18.</w:t>
      </w:r>
    </w:p>
    <w:p w14:paraId="5077FF1E"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[18]</w:t>
      </w:r>
      <w:r w:rsidRPr="00DB1CEA">
        <w:rPr>
          <w:rFonts w:ascii="Garamond" w:hAnsi="Garamond" w:cs="Times New Roman"/>
          <w:noProof/>
          <w:sz w:val="24"/>
          <w:szCs w:val="24"/>
        </w:rPr>
        <w:tab/>
        <w:t>J. Chakaya et al., “Global Tuberculosis Report 2020 – Reflections on the Global TB burden, treatment and prevention efforts,” Int. J. Infect. Dis., vol. 113, pp. S7–S12, Dec. 2021, doi: 10.1016/j.ijid.2021.02.107.</w:t>
      </w:r>
    </w:p>
    <w:p w14:paraId="2682F871"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[19]</w:t>
      </w:r>
      <w:r w:rsidRPr="00DB1CEA">
        <w:rPr>
          <w:rFonts w:ascii="Garamond" w:hAnsi="Garamond" w:cs="Times New Roman"/>
          <w:noProof/>
          <w:sz w:val="24"/>
          <w:szCs w:val="24"/>
        </w:rPr>
        <w:tab/>
        <w:t>I. A. Rana, S. S. Bhatti, and S. e Saqib, “The spatial and temporal dynamics of infrastructure development disparity – From assessment to analyses,” Cities, vol. 63, pp. 20–32, Mar. 2017, doi: 10.1016/J.CITIES.2016.12.020.</w:t>
      </w:r>
    </w:p>
    <w:p w14:paraId="0981D907"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[20]</w:t>
      </w:r>
      <w:r w:rsidRPr="00DB1CEA">
        <w:rPr>
          <w:rFonts w:ascii="Garamond" w:hAnsi="Garamond" w:cs="Times New Roman"/>
          <w:noProof/>
          <w:sz w:val="24"/>
          <w:szCs w:val="24"/>
        </w:rPr>
        <w:tab/>
        <w:t>M. Irfan, Y. Hao, M. Ikram, H. Wu, R. Akram, and A. Rauf, “Assessment of the public acceptance and utilization of renewable energy in Pakistan,” Sustain. Prod. Consum., vol. 27, pp. 312–324, Jul. 2021, doi: 10.1016/J.SPC.2020.10.031.</w:t>
      </w:r>
    </w:p>
    <w:p w14:paraId="556F8A14"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[21]</w:t>
      </w:r>
      <w:r w:rsidRPr="00DB1CEA">
        <w:rPr>
          <w:rFonts w:ascii="Garamond" w:hAnsi="Garamond" w:cs="Times New Roman"/>
          <w:noProof/>
          <w:sz w:val="24"/>
          <w:szCs w:val="24"/>
        </w:rPr>
        <w:tab/>
        <w:t>M. W. Gondal, “URBANIZATION IN PAKISTAN AND CHALLENGES TO SOCIAL DEVELOPMENT,” Univ. PUNJAB, 2021.</w:t>
      </w:r>
    </w:p>
    <w:p w14:paraId="3311055F"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[22]</w:t>
      </w:r>
      <w:r w:rsidRPr="00DB1CEA">
        <w:rPr>
          <w:rFonts w:ascii="Garamond" w:hAnsi="Garamond" w:cs="Times New Roman"/>
          <w:noProof/>
          <w:sz w:val="24"/>
          <w:szCs w:val="24"/>
        </w:rPr>
        <w:tab/>
        <w:t>A. Siddiqa, “The New Frontiers: Militancy &amp; Radicalism in Punjab,” 2013.</w:t>
      </w:r>
    </w:p>
    <w:p w14:paraId="2F07DAC4"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[23]</w:t>
      </w:r>
      <w:r w:rsidRPr="00DB1CEA">
        <w:rPr>
          <w:rFonts w:ascii="Garamond" w:hAnsi="Garamond" w:cs="Times New Roman"/>
          <w:noProof/>
          <w:sz w:val="24"/>
          <w:szCs w:val="24"/>
        </w:rPr>
        <w:tab/>
        <w:t>A. Mahmood, A. Mahmood, R. N. Malik, and Z. K. Shinwari, “Indigenous knowledge of medicinal plants from Gujranwala district, Pakistan,” J. Ethnopharmacol., vol. 148, no. 2, pp. 714–723, Jul. 2013, doi: 10.1016/J.JEP.2013.05.035.</w:t>
      </w:r>
    </w:p>
    <w:p w14:paraId="5B604F18"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[24]</w:t>
      </w:r>
      <w:r w:rsidRPr="00DB1CEA">
        <w:rPr>
          <w:rFonts w:ascii="Garamond" w:hAnsi="Garamond" w:cs="Times New Roman"/>
          <w:noProof/>
          <w:sz w:val="24"/>
          <w:szCs w:val="24"/>
        </w:rPr>
        <w:tab/>
        <w:t>S. S. Hasan, Z. U. Mustafa, C. S. Kow, and H. A. Merchant, “‘Sehat Sahulat Program’: A Leap into the Universal Health Coverage in Pakistan,” Int. J. Environ. Res. Public Heal. 2022, Vol. 19, Page 6998, vol. 19, no. 12, p. 6998, Jun. 2022, doi: 10.3390/IJERPH19126998.</w:t>
      </w:r>
    </w:p>
    <w:p w14:paraId="18C726E9"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[25]</w:t>
      </w:r>
      <w:r w:rsidRPr="00DB1CEA">
        <w:rPr>
          <w:rFonts w:ascii="Garamond" w:hAnsi="Garamond" w:cs="Times New Roman"/>
          <w:noProof/>
          <w:sz w:val="24"/>
          <w:szCs w:val="24"/>
        </w:rPr>
        <w:tab/>
        <w:t>“Educational status and awareness among tuberculosis patients of Karachi - PubMed.” Accessed: Jun. 24, 2024. [Online]. Available: https://pubmed.ncbi.nlm.nih.gov/26968274/</w:t>
      </w:r>
    </w:p>
    <w:p w14:paraId="2B2C6E4B"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[26]</w:t>
      </w:r>
      <w:r w:rsidRPr="00DB1CEA">
        <w:rPr>
          <w:rFonts w:ascii="Garamond" w:hAnsi="Garamond" w:cs="Times New Roman"/>
          <w:noProof/>
          <w:sz w:val="24"/>
          <w:szCs w:val="24"/>
        </w:rPr>
        <w:tab/>
        <w:t>M. Miandad, F. Burke, S. Nawaz-Ul-Huda, and M. Azam, “Geodemographic analysis of tuberculosis patients in Karachi, Pakistan,” Hum. Geogr., vol. 9, no. 2, pp. 165–182, Nov. 2015, doi: 10.5719/HGEO.2015.92.4.</w:t>
      </w:r>
    </w:p>
    <w:p w14:paraId="62900F2E"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[27]</w:t>
      </w:r>
      <w:r w:rsidRPr="00DB1CEA">
        <w:rPr>
          <w:rFonts w:ascii="Garamond" w:hAnsi="Garamond" w:cs="Times New Roman"/>
          <w:noProof/>
          <w:sz w:val="24"/>
          <w:szCs w:val="24"/>
        </w:rPr>
        <w:tab/>
        <w:t xml:space="preserve">M. Y. Mangi, Z. Yue, S. Kalwar, and Z. A. Lashari, “Comparative Analysis of Urban </w:t>
      </w:r>
      <w:r w:rsidRPr="00DB1CEA">
        <w:rPr>
          <w:rFonts w:ascii="Garamond" w:hAnsi="Garamond" w:cs="Times New Roman"/>
          <w:noProof/>
          <w:sz w:val="24"/>
          <w:szCs w:val="24"/>
        </w:rPr>
        <w:lastRenderedPageBreak/>
        <w:t>Development Trends of Beijing and Karachi Metropolitan Areas,” Sustain. 2020, Vol. 12, Page 451, vol. 12, no. 2, p. 451, Jan. 2020, doi: 10.3390/SU12020451.</w:t>
      </w:r>
    </w:p>
    <w:p w14:paraId="4BA3530B" w14:textId="77777777" w:rsidR="006D57EC" w:rsidRPr="00DB1CEA" w:rsidRDefault="006D57EC" w:rsidP="000302BC">
      <w:pPr>
        <w:widowControl w:val="0"/>
        <w:autoSpaceDE w:val="0"/>
        <w:autoSpaceDN w:val="0"/>
        <w:adjustRightInd w:val="0"/>
        <w:spacing w:after="0" w:line="240" w:lineRule="auto"/>
        <w:ind w:left="720" w:hanging="540"/>
        <w:jc w:val="both"/>
        <w:rPr>
          <w:rFonts w:ascii="Garamond" w:hAnsi="Garamond" w:cs="Times New Roman"/>
          <w:noProof/>
          <w:sz w:val="24"/>
          <w:szCs w:val="24"/>
        </w:rPr>
      </w:pPr>
      <w:r w:rsidRPr="00DB1CEA">
        <w:rPr>
          <w:rFonts w:ascii="Garamond" w:hAnsi="Garamond" w:cs="Times New Roman"/>
          <w:noProof/>
          <w:sz w:val="24"/>
          <w:szCs w:val="24"/>
        </w:rPr>
        <w:t>[28]</w:t>
      </w:r>
      <w:r w:rsidRPr="00DB1CEA">
        <w:rPr>
          <w:rFonts w:ascii="Garamond" w:hAnsi="Garamond" w:cs="Times New Roman"/>
          <w:noProof/>
          <w:sz w:val="24"/>
          <w:szCs w:val="24"/>
        </w:rPr>
        <w:tab/>
        <w:t>O. Wegelin et al., “Comparing Three Different Techniques for Magnetic Resonance Imaging-targeted Prostate Biopsies: A Systematic Review of In-bore versus Magnetic Resonance Imaging-transrectal Ultrasound fusion versus Cognitive Registration. Is There a Preferred Technique?,” Eur. Urol., vol. 71, no. 4, pp. 517–531, Apr. 2017, doi: 10.1016/J.EURURO.2016.07.041.</w:t>
      </w:r>
    </w:p>
    <w:p w14:paraId="65026007" w14:textId="62B3EA52" w:rsidR="00877292" w:rsidRPr="00DB1CEA" w:rsidRDefault="00BC7D1E" w:rsidP="000302BC">
      <w:pPr>
        <w:pStyle w:val="EndNoteBibliography"/>
        <w:spacing w:after="0"/>
        <w:ind w:left="720" w:hanging="540"/>
        <w:rPr>
          <w:rFonts w:ascii="Garamond" w:eastAsia="Garamond" w:hAnsi="Garamond" w:cs="Garamond"/>
          <w:color w:val="000000" w:themeColor="text1"/>
          <w:sz w:val="24"/>
          <w:szCs w:val="24"/>
        </w:rPr>
      </w:pPr>
      <w:r w:rsidRPr="00DB1CEA">
        <w:rPr>
          <w:rFonts w:ascii="Garamond" w:hAnsi="Garamond"/>
          <w:sz w:val="24"/>
          <w:szCs w:val="24"/>
        </w:rPr>
        <w:t>[29]</w:t>
      </w:r>
      <w:r w:rsidRPr="00DB1CEA">
        <w:rPr>
          <w:rFonts w:ascii="Garamond" w:hAnsi="Garamond"/>
          <w:sz w:val="24"/>
          <w:szCs w:val="24"/>
        </w:rPr>
        <w:tab/>
        <w:t xml:space="preserve">Bagcchi, S. (2023). WHO's global tuberculosis report 2022. The Lancet Microbe, 4(1), e20. Mıandad, M., Anwar, M. M., Ahmed, S., Rahman, G., &amp; Khan, M. A. (2019). Assessment of risk factors associated with spread of tuberculosis in Gujrat city Pakistan. Coğrafya Dergisi(39), 41-60. </w:t>
      </w:r>
      <w:r w:rsidR="006D57EC" w:rsidRPr="00DB1CEA">
        <w:rPr>
          <w:rFonts w:ascii="Garamond" w:eastAsia="Garamond" w:hAnsi="Garamond" w:cs="Garamond"/>
          <w:color w:val="000000" w:themeColor="text1"/>
          <w:sz w:val="24"/>
          <w:szCs w:val="24"/>
        </w:rPr>
        <w:fldChar w:fldCharType="end"/>
      </w:r>
    </w:p>
    <w:tbl>
      <w:tblPr>
        <w:tblStyle w:val="TableGrid"/>
        <w:tblpPr w:leftFromText="180" w:rightFromText="180" w:vertAnchor="text" w:horzAnchor="margin" w:tblpY="6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6670"/>
      </w:tblGrid>
      <w:tr w:rsidR="00877292" w:rsidRPr="00BC7D1E" w14:paraId="311595F9" w14:textId="77777777" w:rsidTr="00877292">
        <w:tc>
          <w:tcPr>
            <w:tcW w:w="1960" w:type="dxa"/>
          </w:tcPr>
          <w:p w14:paraId="272ADAD7" w14:textId="77777777" w:rsidR="00877292" w:rsidRPr="00DB1CEA" w:rsidRDefault="00877292" w:rsidP="00DB4C7F">
            <w:pPr>
              <w:jc w:val="both"/>
              <w:rPr>
                <w:rFonts w:ascii="Garamond" w:eastAsia="Garamond" w:hAnsi="Garamond" w:cs="Garamond"/>
                <w:color w:val="000000" w:themeColor="text1"/>
                <w:sz w:val="24"/>
                <w:szCs w:val="24"/>
              </w:rPr>
            </w:pPr>
            <w:bookmarkStart w:id="5" w:name="_Hlk120457989"/>
            <w:r w:rsidRPr="00DB1CEA">
              <w:rPr>
                <w:rFonts w:ascii="Garamond" w:hAnsi="Garamond"/>
                <w:noProof/>
                <w:color w:val="000000" w:themeColor="text1"/>
                <w:sz w:val="24"/>
                <w:szCs w:val="24"/>
              </w:rPr>
              <w:drawing>
                <wp:inline distT="0" distB="0" distL="0" distR="0" wp14:anchorId="242732DF" wp14:editId="0ED75E72">
                  <wp:extent cx="1104900" cy="390525"/>
                  <wp:effectExtent l="0" t="0" r="0" b="9525"/>
                  <wp:docPr id="31" name="Picture 31" descr="Image result for CC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104900" cy="390525"/>
                          </a:xfrm>
                          <a:prstGeom prst="rect">
                            <a:avLst/>
                          </a:prstGeom>
                        </pic:spPr>
                      </pic:pic>
                    </a:graphicData>
                  </a:graphic>
                </wp:inline>
              </w:drawing>
            </w:r>
          </w:p>
        </w:tc>
        <w:tc>
          <w:tcPr>
            <w:tcW w:w="6670" w:type="dxa"/>
          </w:tcPr>
          <w:p w14:paraId="321A2BF8" w14:textId="77777777" w:rsidR="00877292" w:rsidRPr="00BC7D1E" w:rsidRDefault="00877292" w:rsidP="00DB4C7F">
            <w:pPr>
              <w:jc w:val="both"/>
              <w:rPr>
                <w:rFonts w:ascii="Garamond" w:eastAsia="Garamond" w:hAnsi="Garamond" w:cs="Garamond"/>
                <w:color w:val="000000" w:themeColor="text1"/>
                <w:sz w:val="24"/>
                <w:szCs w:val="24"/>
              </w:rPr>
            </w:pPr>
            <w:r w:rsidRPr="00DB1CEA">
              <w:rPr>
                <w:rFonts w:ascii="Garamond" w:eastAsia="Garamond" w:hAnsi="Garamond" w:cs="Garamond"/>
                <w:color w:val="000000" w:themeColor="text1"/>
                <w:sz w:val="24"/>
                <w:szCs w:val="24"/>
              </w:rPr>
              <w:t>Copyright © by authors and 50Sea. This work is licensed under Creative Commons Attribution 4.0 International License.</w:t>
            </w:r>
            <w:r w:rsidRPr="00BC7D1E">
              <w:rPr>
                <w:rFonts w:ascii="Garamond" w:eastAsia="Garamond" w:hAnsi="Garamond" w:cs="Garamond"/>
                <w:color w:val="000000" w:themeColor="text1"/>
                <w:sz w:val="24"/>
                <w:szCs w:val="24"/>
              </w:rPr>
              <w:t xml:space="preserve"> </w:t>
            </w:r>
          </w:p>
        </w:tc>
      </w:tr>
      <w:bookmarkEnd w:id="5"/>
    </w:tbl>
    <w:p w14:paraId="06DE5B30" w14:textId="3596608A" w:rsidR="004E25B0" w:rsidRPr="00BC7D1E" w:rsidRDefault="004E25B0" w:rsidP="00AE6757">
      <w:pPr>
        <w:tabs>
          <w:tab w:val="left" w:pos="7005"/>
        </w:tabs>
        <w:spacing w:after="0" w:line="240" w:lineRule="auto"/>
        <w:jc w:val="both"/>
        <w:rPr>
          <w:rFonts w:ascii="Garamond" w:eastAsia="Garamond" w:hAnsi="Garamond" w:cs="Garamond"/>
          <w:sz w:val="24"/>
          <w:szCs w:val="24"/>
        </w:rPr>
      </w:pPr>
    </w:p>
    <w:sectPr w:rsidR="004E25B0" w:rsidRPr="00BC7D1E" w:rsidSect="00237BE0">
      <w:pgSz w:w="10800" w:h="14400"/>
      <w:pgMar w:top="0" w:right="540" w:bottom="274"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63093" w14:textId="77777777" w:rsidR="00483820" w:rsidRDefault="00483820" w:rsidP="00DF2A64">
      <w:pPr>
        <w:spacing w:after="0" w:line="240" w:lineRule="auto"/>
      </w:pPr>
      <w:r>
        <w:separator/>
      </w:r>
    </w:p>
  </w:endnote>
  <w:endnote w:type="continuationSeparator" w:id="0">
    <w:p w14:paraId="57065A69" w14:textId="77777777" w:rsidR="00483820" w:rsidRDefault="00483820" w:rsidP="00DF2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75305559"/>
      <w:docPartObj>
        <w:docPartGallery w:val="Page Numbers (Bottom of Page)"/>
        <w:docPartUnique/>
      </w:docPartObj>
    </w:sdtPr>
    <w:sdtEndPr>
      <w:rPr>
        <w:noProof/>
      </w:rPr>
    </w:sdtEndPr>
    <w:sdtContent>
      <w:p w14:paraId="742AEA60" w14:textId="6041E66A" w:rsidR="00F7363F" w:rsidRPr="00186E63" w:rsidRDefault="00F7363F" w:rsidP="00186E63">
        <w:pPr>
          <w:pStyle w:val="Footer"/>
          <w:pBdr>
            <w:top w:val="single" w:sz="4" w:space="1" w:color="auto"/>
          </w:pBdr>
          <w:jc w:val="center"/>
          <w:rPr>
            <w:noProof/>
            <w:sz w:val="24"/>
            <w:szCs w:val="24"/>
          </w:rPr>
        </w:pPr>
        <w:r>
          <w:rPr>
            <w:rFonts w:ascii="Garamond" w:hAnsi="Garamond"/>
            <w:w w:val="110"/>
            <w:sz w:val="24"/>
            <w:szCs w:val="24"/>
          </w:rPr>
          <w:t>June</w:t>
        </w:r>
        <w:r w:rsidRPr="00186E63">
          <w:rPr>
            <w:rFonts w:ascii="Garamond" w:hAnsi="Garamond"/>
            <w:w w:val="110"/>
            <w:sz w:val="24"/>
            <w:szCs w:val="24"/>
          </w:rPr>
          <w:t xml:space="preserve"> 2024</w:t>
        </w:r>
        <w:r w:rsidRPr="00186E63">
          <w:rPr>
            <w:rFonts w:ascii="Garamond" w:hAnsi="Garamond"/>
            <w:w w:val="205"/>
            <w:sz w:val="24"/>
            <w:szCs w:val="24"/>
          </w:rPr>
          <w:t>|</w:t>
        </w:r>
        <w:r w:rsidR="004E1CBF">
          <w:rPr>
            <w:rFonts w:ascii="Garamond" w:hAnsi="Garamond"/>
            <w:w w:val="110"/>
            <w:sz w:val="24"/>
            <w:szCs w:val="24"/>
          </w:rPr>
          <w:t>Special Issue</w:t>
        </w:r>
        <w:r w:rsidRPr="00186E63">
          <w:rPr>
            <w:rFonts w:ascii="Garamond" w:hAnsi="Garamond"/>
            <w:w w:val="110"/>
            <w:sz w:val="24"/>
            <w:szCs w:val="24"/>
          </w:rPr>
          <w:t xml:space="preserve">                                </w:t>
        </w:r>
        <w:r>
          <w:rPr>
            <w:rFonts w:ascii="Garamond" w:hAnsi="Garamond"/>
            <w:w w:val="110"/>
            <w:sz w:val="24"/>
            <w:szCs w:val="24"/>
          </w:rPr>
          <w:t xml:space="preserve">   </w:t>
        </w:r>
        <w:r w:rsidRPr="00186E63">
          <w:rPr>
            <w:rFonts w:ascii="Garamond" w:hAnsi="Garamond"/>
            <w:w w:val="110"/>
            <w:sz w:val="24"/>
            <w:szCs w:val="24"/>
          </w:rPr>
          <w:t xml:space="preserve">                                      </w:t>
        </w:r>
        <w:r w:rsidRPr="00186E63">
          <w:rPr>
            <w:rFonts w:ascii="Garamond" w:hAnsi="Garamond"/>
            <w:w w:val="105"/>
            <w:sz w:val="24"/>
            <w:szCs w:val="24"/>
          </w:rPr>
          <w:t xml:space="preserve">Page </w:t>
        </w:r>
        <w:r w:rsidRPr="00186E63">
          <w:rPr>
            <w:rFonts w:ascii="Garamond" w:hAnsi="Garamond"/>
            <w:w w:val="220"/>
            <w:sz w:val="24"/>
            <w:szCs w:val="24"/>
          </w:rPr>
          <w:t>|</w:t>
        </w:r>
        <w:r w:rsidRPr="00186E63">
          <w:rPr>
            <w:rFonts w:ascii="Garamond" w:hAnsi="Garamond"/>
            <w:sz w:val="24"/>
            <w:szCs w:val="24"/>
          </w:rPr>
          <w:fldChar w:fldCharType="begin"/>
        </w:r>
        <w:r w:rsidRPr="00186E63">
          <w:rPr>
            <w:rFonts w:ascii="Garamond" w:hAnsi="Garamond"/>
            <w:sz w:val="24"/>
            <w:szCs w:val="24"/>
          </w:rPr>
          <w:instrText xml:space="preserve"> PAGE   \* MERGEFORMAT </w:instrText>
        </w:r>
        <w:r w:rsidRPr="00186E63">
          <w:rPr>
            <w:rFonts w:ascii="Garamond" w:hAnsi="Garamond"/>
            <w:sz w:val="24"/>
            <w:szCs w:val="24"/>
          </w:rPr>
          <w:fldChar w:fldCharType="separate"/>
        </w:r>
        <w:r w:rsidR="00DE1033">
          <w:rPr>
            <w:rFonts w:ascii="Garamond" w:hAnsi="Garamond"/>
            <w:noProof/>
            <w:sz w:val="24"/>
            <w:szCs w:val="24"/>
          </w:rPr>
          <w:t>1</w:t>
        </w:r>
        <w:r w:rsidRPr="00186E63">
          <w:rPr>
            <w:rFonts w:ascii="Garamond" w:hAnsi="Garamond"/>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2B9CE" w14:textId="77777777" w:rsidR="00483820" w:rsidRDefault="00483820" w:rsidP="00DF2A64">
      <w:pPr>
        <w:spacing w:after="0" w:line="240" w:lineRule="auto"/>
      </w:pPr>
      <w:r>
        <w:separator/>
      </w:r>
    </w:p>
  </w:footnote>
  <w:footnote w:type="continuationSeparator" w:id="0">
    <w:p w14:paraId="5A75E938" w14:textId="77777777" w:rsidR="00483820" w:rsidRDefault="00483820" w:rsidP="00DF2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D2AC3" w14:textId="41CEEF50" w:rsidR="00F7363F" w:rsidRPr="0031151F" w:rsidRDefault="00F7363F" w:rsidP="00BE68C6">
    <w:pPr>
      <w:pStyle w:val="BodyText"/>
      <w:pBdr>
        <w:bottom w:val="single" w:sz="4" w:space="1" w:color="auto"/>
      </w:pBdr>
      <w:ind w:left="20"/>
      <w:jc w:val="both"/>
      <w:rPr>
        <w:rFonts w:ascii="Garamond" w:hAnsi="Garamond"/>
        <w:color w:val="00B050"/>
      </w:rPr>
    </w:pPr>
    <w:r w:rsidRPr="0031151F">
      <w:rPr>
        <w:rFonts w:ascii="Garamond" w:hAnsi="Garamond"/>
        <w:noProof/>
      </w:rPr>
      <w:drawing>
        <wp:inline distT="0" distB="0" distL="0" distR="0" wp14:anchorId="07654DEE" wp14:editId="546B4541">
          <wp:extent cx="657225" cy="2381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225" cy="238125"/>
                  </a:xfrm>
                  <a:prstGeom prst="rect">
                    <a:avLst/>
                  </a:prstGeom>
                  <a:noFill/>
                  <a:ln>
                    <a:noFill/>
                  </a:ln>
                </pic:spPr>
              </pic:pic>
            </a:graphicData>
          </a:graphic>
        </wp:inline>
      </w:drawing>
    </w:r>
    <w:r w:rsidRPr="0031151F">
      <w:rPr>
        <w:rFonts w:ascii="Garamond" w:hAnsi="Garamond"/>
        <w:color w:val="00B050"/>
      </w:rPr>
      <w:t xml:space="preserve">                    </w:t>
    </w:r>
    <w:r>
      <w:rPr>
        <w:rFonts w:ascii="Garamond" w:hAnsi="Garamond"/>
        <w:color w:val="00B050"/>
      </w:rPr>
      <w:t xml:space="preserve">   </w:t>
    </w:r>
    <w:r w:rsidRPr="0031151F">
      <w:rPr>
        <w:rFonts w:ascii="Garamond" w:hAnsi="Garamond"/>
        <w:color w:val="00B050"/>
      </w:rPr>
      <w:t xml:space="preserve">          </w:t>
    </w:r>
    <w:bookmarkStart w:id="2" w:name="_Hlk138425995"/>
    <w:r w:rsidRPr="0031151F">
      <w:rPr>
        <w:rFonts w:ascii="Garamond" w:hAnsi="Garamond"/>
        <w:color w:val="FF0000"/>
      </w:rPr>
      <w:t>International Journal of Innovations in Science &amp; Technology</w:t>
    </w: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4487F"/>
    <w:multiLevelType w:val="multilevel"/>
    <w:tmpl w:val="D2D00C1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086C4694"/>
    <w:multiLevelType w:val="multilevel"/>
    <w:tmpl w:val="F64E9F9E"/>
    <w:lvl w:ilvl="0">
      <w:start w:val="4"/>
      <w:numFmt w:val="decimal"/>
      <w:lvlText w:val="%1"/>
      <w:lvlJc w:val="left"/>
      <w:pPr>
        <w:ind w:left="1220" w:hanging="480"/>
      </w:pPr>
      <w:rPr>
        <w:rFonts w:hint="default"/>
        <w:lang w:val="en-US" w:eastAsia="en-US" w:bidi="ar-SA"/>
      </w:rPr>
    </w:lvl>
    <w:lvl w:ilvl="1">
      <w:start w:val="1"/>
      <w:numFmt w:val="decimal"/>
      <w:lvlText w:val="%1.%2"/>
      <w:lvlJc w:val="left"/>
      <w:pPr>
        <w:ind w:left="1220" w:hanging="480"/>
      </w:pPr>
      <w:rPr>
        <w:rFonts w:ascii="Times New Roman" w:eastAsia="Times New Roman" w:hAnsi="Times New Roman" w:cs="Times New Roman" w:hint="default"/>
        <w:b/>
        <w:bCs/>
        <w:i w:val="0"/>
        <w:iCs w:val="0"/>
        <w:spacing w:val="0"/>
        <w:w w:val="99"/>
        <w:sz w:val="32"/>
        <w:szCs w:val="32"/>
        <w:lang w:val="en-US" w:eastAsia="en-US" w:bidi="ar-SA"/>
      </w:rPr>
    </w:lvl>
    <w:lvl w:ilvl="2">
      <w:start w:val="1"/>
      <w:numFmt w:val="decimal"/>
      <w:lvlText w:val="%1.%2.%3"/>
      <w:lvlJc w:val="left"/>
      <w:pPr>
        <w:ind w:left="1371" w:hanging="632"/>
      </w:pPr>
      <w:rPr>
        <w:rFonts w:ascii="Times New Roman" w:eastAsia="Times New Roman" w:hAnsi="Times New Roman" w:cs="Times New Roman" w:hint="default"/>
        <w:b/>
        <w:bCs/>
        <w:i w:val="0"/>
        <w:iCs w:val="0"/>
        <w:spacing w:val="-3"/>
        <w:w w:val="100"/>
        <w:sz w:val="28"/>
        <w:szCs w:val="28"/>
        <w:lang w:val="en-US" w:eastAsia="en-US" w:bidi="ar-SA"/>
      </w:rPr>
    </w:lvl>
    <w:lvl w:ilvl="3">
      <w:start w:val="1"/>
      <w:numFmt w:val="decimal"/>
      <w:lvlText w:val="%1.%2.%3.%4"/>
      <w:lvlJc w:val="left"/>
      <w:pPr>
        <w:ind w:left="1460" w:hanging="720"/>
      </w:pPr>
      <w:rPr>
        <w:rFonts w:ascii="Times New Roman" w:eastAsia="Times New Roman" w:hAnsi="Times New Roman" w:cs="Times New Roman" w:hint="default"/>
        <w:b/>
        <w:bCs/>
        <w:i w:val="0"/>
        <w:iCs w:val="0"/>
        <w:spacing w:val="0"/>
        <w:w w:val="100"/>
        <w:sz w:val="24"/>
        <w:szCs w:val="24"/>
        <w:lang w:val="en-US" w:eastAsia="en-US" w:bidi="ar-SA"/>
      </w:rPr>
    </w:lvl>
    <w:lvl w:ilvl="4">
      <w:numFmt w:val="bullet"/>
      <w:lvlText w:val="•"/>
      <w:lvlJc w:val="left"/>
      <w:pPr>
        <w:ind w:left="3716" w:hanging="720"/>
      </w:pPr>
      <w:rPr>
        <w:rFonts w:hint="default"/>
        <w:lang w:val="en-US" w:eastAsia="en-US" w:bidi="ar-SA"/>
      </w:rPr>
    </w:lvl>
    <w:lvl w:ilvl="5">
      <w:numFmt w:val="bullet"/>
      <w:lvlText w:val="•"/>
      <w:lvlJc w:val="left"/>
      <w:pPr>
        <w:ind w:left="4844" w:hanging="720"/>
      </w:pPr>
      <w:rPr>
        <w:rFonts w:hint="default"/>
        <w:lang w:val="en-US" w:eastAsia="en-US" w:bidi="ar-SA"/>
      </w:rPr>
    </w:lvl>
    <w:lvl w:ilvl="6">
      <w:numFmt w:val="bullet"/>
      <w:lvlText w:val="•"/>
      <w:lvlJc w:val="left"/>
      <w:pPr>
        <w:ind w:left="5973" w:hanging="720"/>
      </w:pPr>
      <w:rPr>
        <w:rFonts w:hint="default"/>
        <w:lang w:val="en-US" w:eastAsia="en-US" w:bidi="ar-SA"/>
      </w:rPr>
    </w:lvl>
    <w:lvl w:ilvl="7">
      <w:numFmt w:val="bullet"/>
      <w:lvlText w:val="•"/>
      <w:lvlJc w:val="left"/>
      <w:pPr>
        <w:ind w:left="7101" w:hanging="720"/>
      </w:pPr>
      <w:rPr>
        <w:rFonts w:hint="default"/>
        <w:lang w:val="en-US" w:eastAsia="en-US" w:bidi="ar-SA"/>
      </w:rPr>
    </w:lvl>
    <w:lvl w:ilvl="8">
      <w:numFmt w:val="bullet"/>
      <w:lvlText w:val="•"/>
      <w:lvlJc w:val="left"/>
      <w:pPr>
        <w:ind w:left="8229" w:hanging="720"/>
      </w:pPr>
      <w:rPr>
        <w:rFonts w:hint="default"/>
        <w:lang w:val="en-US" w:eastAsia="en-US" w:bidi="ar-SA"/>
      </w:rPr>
    </w:lvl>
  </w:abstractNum>
  <w:abstractNum w:abstractNumId="2" w15:restartNumberingAfterBreak="0">
    <w:nsid w:val="0DD27262"/>
    <w:multiLevelType w:val="multilevel"/>
    <w:tmpl w:val="F9720F4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A182DA5"/>
    <w:multiLevelType w:val="multilevel"/>
    <w:tmpl w:val="886291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F912A35"/>
    <w:multiLevelType w:val="hybridMultilevel"/>
    <w:tmpl w:val="56E40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64C7E"/>
    <w:multiLevelType w:val="multilevel"/>
    <w:tmpl w:val="8DA8FD7C"/>
    <w:lvl w:ilvl="0">
      <w:start w:val="1"/>
      <w:numFmt w:val="decimal"/>
      <w:lvlText w:val="%1"/>
      <w:lvlJc w:val="left"/>
      <w:pPr>
        <w:ind w:left="420" w:hanging="420"/>
      </w:pPr>
      <w:rPr>
        <w:rFonts w:hint="default"/>
      </w:rPr>
    </w:lvl>
    <w:lvl w:ilvl="1">
      <w:start w:val="1"/>
      <w:numFmt w:val="decimal"/>
      <w:lvlText w:val="%1.%2"/>
      <w:lvlJc w:val="left"/>
      <w:pPr>
        <w:ind w:left="600" w:hanging="4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27EC439A"/>
    <w:multiLevelType w:val="multilevel"/>
    <w:tmpl w:val="5AA02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D661A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AF61ED"/>
    <w:multiLevelType w:val="multilevel"/>
    <w:tmpl w:val="0B983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DF2418"/>
    <w:multiLevelType w:val="hybridMultilevel"/>
    <w:tmpl w:val="4FE69246"/>
    <w:lvl w:ilvl="0" w:tplc="FA3EC182">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6657F19"/>
    <w:multiLevelType w:val="hybridMultilevel"/>
    <w:tmpl w:val="7AA47A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BD5A6E"/>
    <w:multiLevelType w:val="hybridMultilevel"/>
    <w:tmpl w:val="F3B622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100363"/>
    <w:multiLevelType w:val="hybridMultilevel"/>
    <w:tmpl w:val="290056A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15:restartNumberingAfterBreak="0">
    <w:nsid w:val="404B409B"/>
    <w:multiLevelType w:val="multilevel"/>
    <w:tmpl w:val="710431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3DE657E"/>
    <w:multiLevelType w:val="multilevel"/>
    <w:tmpl w:val="90688FDE"/>
    <w:lvl w:ilvl="0">
      <w:start w:val="1"/>
      <w:numFmt w:val="decimal"/>
      <w:lvlText w:val="%1."/>
      <w:lvlJc w:val="left"/>
      <w:pPr>
        <w:ind w:left="460" w:hanging="361"/>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2)"/>
      <w:lvlJc w:val="left"/>
      <w:pPr>
        <w:ind w:left="460" w:hanging="262"/>
      </w:pPr>
      <w:rPr>
        <w:rFonts w:ascii="Times New Roman" w:eastAsia="Times New Roman" w:hAnsi="Times New Roman" w:cs="Times New Roman" w:hint="default"/>
        <w:b w:val="0"/>
        <w:bCs w:val="0"/>
        <w:i w:val="0"/>
        <w:iCs w:val="0"/>
        <w:spacing w:val="0"/>
        <w:w w:val="100"/>
        <w:sz w:val="24"/>
        <w:szCs w:val="24"/>
        <w:lang w:val="en-US" w:eastAsia="en-US" w:bidi="ar-SA"/>
      </w:rPr>
    </w:lvl>
    <w:lvl w:ilvl="2">
      <w:start w:val="1"/>
      <w:numFmt w:val="decimal"/>
      <w:lvlText w:val="%2.%3"/>
      <w:lvlJc w:val="left"/>
      <w:pPr>
        <w:ind w:left="882" w:hanging="423"/>
      </w:pPr>
      <w:rPr>
        <w:rFonts w:hint="default"/>
        <w:spacing w:val="0"/>
        <w:w w:val="100"/>
        <w:lang w:val="en-US" w:eastAsia="en-US" w:bidi="ar-SA"/>
      </w:rPr>
    </w:lvl>
    <w:lvl w:ilvl="3">
      <w:numFmt w:val="bullet"/>
      <w:lvlText w:val="•"/>
      <w:lvlJc w:val="left"/>
      <w:pPr>
        <w:ind w:left="3151" w:hanging="423"/>
      </w:pPr>
      <w:rPr>
        <w:rFonts w:hint="default"/>
        <w:lang w:val="en-US" w:eastAsia="en-US" w:bidi="ar-SA"/>
      </w:rPr>
    </w:lvl>
    <w:lvl w:ilvl="4">
      <w:numFmt w:val="bullet"/>
      <w:lvlText w:val="•"/>
      <w:lvlJc w:val="left"/>
      <w:pPr>
        <w:ind w:left="4286" w:hanging="423"/>
      </w:pPr>
      <w:rPr>
        <w:rFonts w:hint="default"/>
        <w:lang w:val="en-US" w:eastAsia="en-US" w:bidi="ar-SA"/>
      </w:rPr>
    </w:lvl>
    <w:lvl w:ilvl="5">
      <w:numFmt w:val="bullet"/>
      <w:lvlText w:val="•"/>
      <w:lvlJc w:val="left"/>
      <w:pPr>
        <w:ind w:left="5422" w:hanging="423"/>
      </w:pPr>
      <w:rPr>
        <w:rFonts w:hint="default"/>
        <w:lang w:val="en-US" w:eastAsia="en-US" w:bidi="ar-SA"/>
      </w:rPr>
    </w:lvl>
    <w:lvl w:ilvl="6">
      <w:numFmt w:val="bullet"/>
      <w:lvlText w:val="•"/>
      <w:lvlJc w:val="left"/>
      <w:pPr>
        <w:ind w:left="6557" w:hanging="423"/>
      </w:pPr>
      <w:rPr>
        <w:rFonts w:hint="default"/>
        <w:lang w:val="en-US" w:eastAsia="en-US" w:bidi="ar-SA"/>
      </w:rPr>
    </w:lvl>
    <w:lvl w:ilvl="7">
      <w:numFmt w:val="bullet"/>
      <w:lvlText w:val="•"/>
      <w:lvlJc w:val="left"/>
      <w:pPr>
        <w:ind w:left="7693" w:hanging="423"/>
      </w:pPr>
      <w:rPr>
        <w:rFonts w:hint="default"/>
        <w:lang w:val="en-US" w:eastAsia="en-US" w:bidi="ar-SA"/>
      </w:rPr>
    </w:lvl>
    <w:lvl w:ilvl="8">
      <w:numFmt w:val="bullet"/>
      <w:lvlText w:val="•"/>
      <w:lvlJc w:val="left"/>
      <w:pPr>
        <w:ind w:left="8828" w:hanging="423"/>
      </w:pPr>
      <w:rPr>
        <w:rFonts w:hint="default"/>
        <w:lang w:val="en-US" w:eastAsia="en-US" w:bidi="ar-SA"/>
      </w:rPr>
    </w:lvl>
  </w:abstractNum>
  <w:abstractNum w:abstractNumId="15" w15:restartNumberingAfterBreak="0">
    <w:nsid w:val="465A383E"/>
    <w:multiLevelType w:val="multilevel"/>
    <w:tmpl w:val="DA5690C6"/>
    <w:lvl w:ilvl="0">
      <w:start w:val="3"/>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3C66C4"/>
    <w:multiLevelType w:val="multilevel"/>
    <w:tmpl w:val="E8464C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9894BDC"/>
    <w:multiLevelType w:val="multilevel"/>
    <w:tmpl w:val="F00A45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363784"/>
    <w:multiLevelType w:val="multilevel"/>
    <w:tmpl w:val="FC3AFFE0"/>
    <w:lvl w:ilvl="0">
      <w:start w:val="5"/>
      <w:numFmt w:val="decimal"/>
      <w:lvlText w:val="%1."/>
      <w:lvlJc w:val="left"/>
      <w:pPr>
        <w:tabs>
          <w:tab w:val="num" w:pos="630"/>
        </w:tabs>
        <w:ind w:left="63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60F3F3E"/>
    <w:multiLevelType w:val="multilevel"/>
    <w:tmpl w:val="EE98B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484EF8"/>
    <w:multiLevelType w:val="multilevel"/>
    <w:tmpl w:val="AB52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A02850"/>
    <w:multiLevelType w:val="hybridMultilevel"/>
    <w:tmpl w:val="7616C2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EC448B6"/>
    <w:multiLevelType w:val="multilevel"/>
    <w:tmpl w:val="46906C8A"/>
    <w:lvl w:ilvl="0">
      <w:start w:val="3"/>
      <w:numFmt w:val="decimal"/>
      <w:lvlText w:val="%1"/>
      <w:lvlJc w:val="left"/>
      <w:pPr>
        <w:ind w:left="576" w:hanging="576"/>
      </w:pPr>
      <w:rPr>
        <w:rFonts w:hint="default"/>
      </w:rPr>
    </w:lvl>
    <w:lvl w:ilvl="1">
      <w:start w:val="3"/>
      <w:numFmt w:val="decimal"/>
      <w:lvlText w:val="%1.%2"/>
      <w:lvlJc w:val="left"/>
      <w:pPr>
        <w:ind w:left="666" w:hanging="576"/>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23" w15:restartNumberingAfterBreak="0">
    <w:nsid w:val="609C180A"/>
    <w:multiLevelType w:val="multilevel"/>
    <w:tmpl w:val="B6B6F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1B02FC"/>
    <w:multiLevelType w:val="hybridMultilevel"/>
    <w:tmpl w:val="8C80B3A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5" w15:restartNumberingAfterBreak="0">
    <w:nsid w:val="6861250E"/>
    <w:multiLevelType w:val="hybridMultilevel"/>
    <w:tmpl w:val="76E0E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3A10C7"/>
    <w:multiLevelType w:val="multilevel"/>
    <w:tmpl w:val="895AD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B4A3FE1"/>
    <w:multiLevelType w:val="hybridMultilevel"/>
    <w:tmpl w:val="97F6406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8" w15:restartNumberingAfterBreak="0">
    <w:nsid w:val="6BF57001"/>
    <w:multiLevelType w:val="hybridMultilevel"/>
    <w:tmpl w:val="E52C8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F92915"/>
    <w:multiLevelType w:val="hybridMultilevel"/>
    <w:tmpl w:val="6CF80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EEF139A"/>
    <w:multiLevelType w:val="multilevel"/>
    <w:tmpl w:val="B7B63416"/>
    <w:lvl w:ilvl="0">
      <w:start w:val="1"/>
      <w:numFmt w:val="decimal"/>
      <w:lvlText w:val="%1."/>
      <w:lvlJc w:val="left"/>
      <w:pPr>
        <w:ind w:left="720" w:hanging="360"/>
      </w:p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0D02BA9"/>
    <w:multiLevelType w:val="hybridMultilevel"/>
    <w:tmpl w:val="3D100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F14063"/>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D1012CE"/>
    <w:multiLevelType w:val="hybridMultilevel"/>
    <w:tmpl w:val="24309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9765065">
    <w:abstractNumId w:val="19"/>
  </w:num>
  <w:num w:numId="2" w16cid:durableId="230506357">
    <w:abstractNumId w:val="31"/>
  </w:num>
  <w:num w:numId="3" w16cid:durableId="981083844">
    <w:abstractNumId w:val="14"/>
  </w:num>
  <w:num w:numId="4" w16cid:durableId="971062887">
    <w:abstractNumId w:val="17"/>
  </w:num>
  <w:num w:numId="5" w16cid:durableId="557975595">
    <w:abstractNumId w:val="20"/>
  </w:num>
  <w:num w:numId="6" w16cid:durableId="4477027">
    <w:abstractNumId w:val="23"/>
  </w:num>
  <w:num w:numId="7" w16cid:durableId="1329753819">
    <w:abstractNumId w:val="8"/>
  </w:num>
  <w:num w:numId="8" w16cid:durableId="1010251656">
    <w:abstractNumId w:val="6"/>
  </w:num>
  <w:num w:numId="9" w16cid:durableId="1798135515">
    <w:abstractNumId w:val="3"/>
  </w:num>
  <w:num w:numId="10" w16cid:durableId="1900943054">
    <w:abstractNumId w:val="15"/>
  </w:num>
  <w:num w:numId="11" w16cid:durableId="968977870">
    <w:abstractNumId w:val="13"/>
  </w:num>
  <w:num w:numId="12" w16cid:durableId="1254823965">
    <w:abstractNumId w:val="18"/>
  </w:num>
  <w:num w:numId="13" w16cid:durableId="968437418">
    <w:abstractNumId w:val="33"/>
  </w:num>
  <w:num w:numId="14" w16cid:durableId="107628116">
    <w:abstractNumId w:val="11"/>
  </w:num>
  <w:num w:numId="15" w16cid:durableId="716898865">
    <w:abstractNumId w:val="30"/>
  </w:num>
  <w:num w:numId="16" w16cid:durableId="1192645546">
    <w:abstractNumId w:val="2"/>
  </w:num>
  <w:num w:numId="17" w16cid:durableId="1150901617">
    <w:abstractNumId w:val="9"/>
  </w:num>
  <w:num w:numId="18" w16cid:durableId="2121561419">
    <w:abstractNumId w:val="1"/>
  </w:num>
  <w:num w:numId="19" w16cid:durableId="1782409122">
    <w:abstractNumId w:val="26"/>
  </w:num>
  <w:num w:numId="20" w16cid:durableId="741682074">
    <w:abstractNumId w:val="28"/>
  </w:num>
  <w:num w:numId="21" w16cid:durableId="1516068674">
    <w:abstractNumId w:val="29"/>
  </w:num>
  <w:num w:numId="22" w16cid:durableId="1186795382">
    <w:abstractNumId w:val="27"/>
  </w:num>
  <w:num w:numId="23" w16cid:durableId="1444501499">
    <w:abstractNumId w:val="12"/>
  </w:num>
  <w:num w:numId="24" w16cid:durableId="1750299626">
    <w:abstractNumId w:val="24"/>
  </w:num>
  <w:num w:numId="25" w16cid:durableId="1867523726">
    <w:abstractNumId w:val="22"/>
  </w:num>
  <w:num w:numId="26" w16cid:durableId="1292785402">
    <w:abstractNumId w:val="5"/>
  </w:num>
  <w:num w:numId="27" w16cid:durableId="836655581">
    <w:abstractNumId w:val="10"/>
  </w:num>
  <w:num w:numId="28" w16cid:durableId="438336484">
    <w:abstractNumId w:val="25"/>
  </w:num>
  <w:num w:numId="29" w16cid:durableId="12804640">
    <w:abstractNumId w:val="4"/>
  </w:num>
  <w:num w:numId="30" w16cid:durableId="1742366438">
    <w:abstractNumId w:val="16"/>
  </w:num>
  <w:num w:numId="31" w16cid:durableId="12921428">
    <w:abstractNumId w:val="7"/>
  </w:num>
  <w:num w:numId="32" w16cid:durableId="609051718">
    <w:abstractNumId w:val="0"/>
  </w:num>
  <w:num w:numId="33" w16cid:durableId="1970697198">
    <w:abstractNumId w:val="32"/>
  </w:num>
  <w:num w:numId="34" w16cid:durableId="69214470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5757933">
    <w:abstractNumId w:val="21"/>
  </w:num>
  <w:num w:numId="36" w16cid:durableId="7069555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wNjExMLU0NTcyMjJV0lEKTi0uzszPAykwtKwFADAsxbItAAAA"/>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9fw0x970pswgexxxyvrwd425waspwr5eps&quot;&gt;TB_ref1&lt;record-ids&gt;&lt;item&gt;37&lt;/item&gt;&lt;item&gt;38&lt;/item&gt;&lt;/record-ids&gt;&lt;/item&gt;&lt;/Libraries&gt;"/>
  </w:docVars>
  <w:rsids>
    <w:rsidRoot w:val="00F15C29"/>
    <w:rsid w:val="000002D8"/>
    <w:rsid w:val="000101FA"/>
    <w:rsid w:val="00010A9A"/>
    <w:rsid w:val="000223C2"/>
    <w:rsid w:val="000302BC"/>
    <w:rsid w:val="00031E19"/>
    <w:rsid w:val="00040430"/>
    <w:rsid w:val="00065DB4"/>
    <w:rsid w:val="0007166F"/>
    <w:rsid w:val="0007689F"/>
    <w:rsid w:val="000935F7"/>
    <w:rsid w:val="000B4123"/>
    <w:rsid w:val="000C394A"/>
    <w:rsid w:val="000C721C"/>
    <w:rsid w:val="000C74F1"/>
    <w:rsid w:val="000C7F0B"/>
    <w:rsid w:val="000D0D22"/>
    <w:rsid w:val="000D15CF"/>
    <w:rsid w:val="000D72F9"/>
    <w:rsid w:val="000D7586"/>
    <w:rsid w:val="000E08B0"/>
    <w:rsid w:val="000E5CAD"/>
    <w:rsid w:val="000E7901"/>
    <w:rsid w:val="000F580E"/>
    <w:rsid w:val="00100B58"/>
    <w:rsid w:val="00105E78"/>
    <w:rsid w:val="00105F69"/>
    <w:rsid w:val="00111525"/>
    <w:rsid w:val="00120402"/>
    <w:rsid w:val="00127872"/>
    <w:rsid w:val="00130CB8"/>
    <w:rsid w:val="00135221"/>
    <w:rsid w:val="001353E6"/>
    <w:rsid w:val="00140AC8"/>
    <w:rsid w:val="00145FF6"/>
    <w:rsid w:val="00154DE6"/>
    <w:rsid w:val="00155992"/>
    <w:rsid w:val="0016295D"/>
    <w:rsid w:val="0016461F"/>
    <w:rsid w:val="00171A46"/>
    <w:rsid w:val="00171A8F"/>
    <w:rsid w:val="0017535B"/>
    <w:rsid w:val="001756B6"/>
    <w:rsid w:val="001813B1"/>
    <w:rsid w:val="00186E63"/>
    <w:rsid w:val="00186EF5"/>
    <w:rsid w:val="00187CCD"/>
    <w:rsid w:val="00194DF6"/>
    <w:rsid w:val="001A0E6B"/>
    <w:rsid w:val="001A260C"/>
    <w:rsid w:val="001A4E3F"/>
    <w:rsid w:val="001B7754"/>
    <w:rsid w:val="001C0B61"/>
    <w:rsid w:val="001D26CC"/>
    <w:rsid w:val="001E3231"/>
    <w:rsid w:val="001E3F08"/>
    <w:rsid w:val="001E57F6"/>
    <w:rsid w:val="001E6653"/>
    <w:rsid w:val="001F1BF5"/>
    <w:rsid w:val="00206112"/>
    <w:rsid w:val="002064DE"/>
    <w:rsid w:val="00207812"/>
    <w:rsid w:val="00216EAE"/>
    <w:rsid w:val="00237BE0"/>
    <w:rsid w:val="00237CB5"/>
    <w:rsid w:val="002437DB"/>
    <w:rsid w:val="002515CE"/>
    <w:rsid w:val="00251F1A"/>
    <w:rsid w:val="0025318C"/>
    <w:rsid w:val="00256475"/>
    <w:rsid w:val="00257B77"/>
    <w:rsid w:val="002707B3"/>
    <w:rsid w:val="002904A0"/>
    <w:rsid w:val="002921B4"/>
    <w:rsid w:val="00292910"/>
    <w:rsid w:val="002A0A6E"/>
    <w:rsid w:val="002A2571"/>
    <w:rsid w:val="002A2AF2"/>
    <w:rsid w:val="002B05B3"/>
    <w:rsid w:val="002B2F64"/>
    <w:rsid w:val="002B2FF6"/>
    <w:rsid w:val="002C2D99"/>
    <w:rsid w:val="002C5BD5"/>
    <w:rsid w:val="002D0561"/>
    <w:rsid w:val="002D1789"/>
    <w:rsid w:val="002D178C"/>
    <w:rsid w:val="002E35DE"/>
    <w:rsid w:val="002E3D57"/>
    <w:rsid w:val="002E5ACD"/>
    <w:rsid w:val="002F1C25"/>
    <w:rsid w:val="002F22A2"/>
    <w:rsid w:val="002F2377"/>
    <w:rsid w:val="002F3B6B"/>
    <w:rsid w:val="002F4461"/>
    <w:rsid w:val="002F4ED6"/>
    <w:rsid w:val="002F7BE7"/>
    <w:rsid w:val="00300C36"/>
    <w:rsid w:val="0030389E"/>
    <w:rsid w:val="0031151F"/>
    <w:rsid w:val="00315320"/>
    <w:rsid w:val="00315866"/>
    <w:rsid w:val="0031721F"/>
    <w:rsid w:val="00321F5E"/>
    <w:rsid w:val="003350C3"/>
    <w:rsid w:val="003357A5"/>
    <w:rsid w:val="00337E30"/>
    <w:rsid w:val="00343476"/>
    <w:rsid w:val="00346872"/>
    <w:rsid w:val="003522FF"/>
    <w:rsid w:val="00352CAB"/>
    <w:rsid w:val="00362997"/>
    <w:rsid w:val="003715CC"/>
    <w:rsid w:val="00375823"/>
    <w:rsid w:val="003825E2"/>
    <w:rsid w:val="00385F4E"/>
    <w:rsid w:val="00386115"/>
    <w:rsid w:val="003865F3"/>
    <w:rsid w:val="00392AF1"/>
    <w:rsid w:val="003967D0"/>
    <w:rsid w:val="003A281B"/>
    <w:rsid w:val="003B5A4A"/>
    <w:rsid w:val="003D0CE5"/>
    <w:rsid w:val="003D4220"/>
    <w:rsid w:val="003D65F9"/>
    <w:rsid w:val="003E3733"/>
    <w:rsid w:val="003E6A05"/>
    <w:rsid w:val="003F391A"/>
    <w:rsid w:val="003F442F"/>
    <w:rsid w:val="00404212"/>
    <w:rsid w:val="004104B9"/>
    <w:rsid w:val="0041173D"/>
    <w:rsid w:val="00413231"/>
    <w:rsid w:val="00416771"/>
    <w:rsid w:val="004209AA"/>
    <w:rsid w:val="004225D4"/>
    <w:rsid w:val="00423C99"/>
    <w:rsid w:val="0042542B"/>
    <w:rsid w:val="004255DB"/>
    <w:rsid w:val="00426A93"/>
    <w:rsid w:val="0043438F"/>
    <w:rsid w:val="004348EB"/>
    <w:rsid w:val="0043497B"/>
    <w:rsid w:val="004377BF"/>
    <w:rsid w:val="00440345"/>
    <w:rsid w:val="00462703"/>
    <w:rsid w:val="00477AF6"/>
    <w:rsid w:val="00481E0F"/>
    <w:rsid w:val="00482216"/>
    <w:rsid w:val="00483820"/>
    <w:rsid w:val="00484397"/>
    <w:rsid w:val="004924CB"/>
    <w:rsid w:val="00493C00"/>
    <w:rsid w:val="0049682A"/>
    <w:rsid w:val="004A73EF"/>
    <w:rsid w:val="004B1178"/>
    <w:rsid w:val="004B1C38"/>
    <w:rsid w:val="004B65F7"/>
    <w:rsid w:val="004C2891"/>
    <w:rsid w:val="004C2D6E"/>
    <w:rsid w:val="004D0C2B"/>
    <w:rsid w:val="004D1C3E"/>
    <w:rsid w:val="004D786B"/>
    <w:rsid w:val="004E1CBF"/>
    <w:rsid w:val="004E25B0"/>
    <w:rsid w:val="004E43CA"/>
    <w:rsid w:val="004F0D47"/>
    <w:rsid w:val="005025E4"/>
    <w:rsid w:val="00514E0A"/>
    <w:rsid w:val="00515E27"/>
    <w:rsid w:val="005164B6"/>
    <w:rsid w:val="0051682F"/>
    <w:rsid w:val="00521545"/>
    <w:rsid w:val="00523225"/>
    <w:rsid w:val="00526AE4"/>
    <w:rsid w:val="0053322D"/>
    <w:rsid w:val="00537988"/>
    <w:rsid w:val="00545BFB"/>
    <w:rsid w:val="00550B4F"/>
    <w:rsid w:val="005559F5"/>
    <w:rsid w:val="00564031"/>
    <w:rsid w:val="00564AC4"/>
    <w:rsid w:val="00572B22"/>
    <w:rsid w:val="00574566"/>
    <w:rsid w:val="00583C7B"/>
    <w:rsid w:val="00584196"/>
    <w:rsid w:val="005951BE"/>
    <w:rsid w:val="005A3CEE"/>
    <w:rsid w:val="005A5540"/>
    <w:rsid w:val="005B5944"/>
    <w:rsid w:val="005C1363"/>
    <w:rsid w:val="005C1FD8"/>
    <w:rsid w:val="005C6DF2"/>
    <w:rsid w:val="005C7B8C"/>
    <w:rsid w:val="005D1626"/>
    <w:rsid w:val="005D51FB"/>
    <w:rsid w:val="005E2B1A"/>
    <w:rsid w:val="005E2E07"/>
    <w:rsid w:val="005F0DBC"/>
    <w:rsid w:val="005F1963"/>
    <w:rsid w:val="005F2E6D"/>
    <w:rsid w:val="0060169E"/>
    <w:rsid w:val="006046FF"/>
    <w:rsid w:val="006068CF"/>
    <w:rsid w:val="00614BE7"/>
    <w:rsid w:val="00623D2F"/>
    <w:rsid w:val="006240EF"/>
    <w:rsid w:val="00644397"/>
    <w:rsid w:val="0065338F"/>
    <w:rsid w:val="0066235B"/>
    <w:rsid w:val="00666B8B"/>
    <w:rsid w:val="00670BCD"/>
    <w:rsid w:val="00680FE2"/>
    <w:rsid w:val="00681E2A"/>
    <w:rsid w:val="006857FA"/>
    <w:rsid w:val="00686C3F"/>
    <w:rsid w:val="006870E8"/>
    <w:rsid w:val="0069656B"/>
    <w:rsid w:val="006A3DCA"/>
    <w:rsid w:val="006B784E"/>
    <w:rsid w:val="006C19E6"/>
    <w:rsid w:val="006C4698"/>
    <w:rsid w:val="006C65A0"/>
    <w:rsid w:val="006D02EF"/>
    <w:rsid w:val="006D38C2"/>
    <w:rsid w:val="006D57EC"/>
    <w:rsid w:val="006E06B7"/>
    <w:rsid w:val="006F195C"/>
    <w:rsid w:val="006F2111"/>
    <w:rsid w:val="006F288B"/>
    <w:rsid w:val="00702A48"/>
    <w:rsid w:val="00710D0D"/>
    <w:rsid w:val="007222F9"/>
    <w:rsid w:val="007315AE"/>
    <w:rsid w:val="0074379B"/>
    <w:rsid w:val="00751632"/>
    <w:rsid w:val="00764152"/>
    <w:rsid w:val="0076519D"/>
    <w:rsid w:val="00771CA1"/>
    <w:rsid w:val="00775464"/>
    <w:rsid w:val="00784809"/>
    <w:rsid w:val="00793457"/>
    <w:rsid w:val="00793EC3"/>
    <w:rsid w:val="007943B0"/>
    <w:rsid w:val="007A2FF1"/>
    <w:rsid w:val="007C13A1"/>
    <w:rsid w:val="007C3E1F"/>
    <w:rsid w:val="007C7EB4"/>
    <w:rsid w:val="007D1669"/>
    <w:rsid w:val="007D6999"/>
    <w:rsid w:val="007D6A81"/>
    <w:rsid w:val="007E3FA7"/>
    <w:rsid w:val="007E7A99"/>
    <w:rsid w:val="00800D36"/>
    <w:rsid w:val="00800ED3"/>
    <w:rsid w:val="0080208A"/>
    <w:rsid w:val="008220C0"/>
    <w:rsid w:val="00834605"/>
    <w:rsid w:val="00834A73"/>
    <w:rsid w:val="00841078"/>
    <w:rsid w:val="0084633A"/>
    <w:rsid w:val="0086392B"/>
    <w:rsid w:val="00870D1A"/>
    <w:rsid w:val="00877292"/>
    <w:rsid w:val="008909C9"/>
    <w:rsid w:val="00894477"/>
    <w:rsid w:val="008A7078"/>
    <w:rsid w:val="008B36FA"/>
    <w:rsid w:val="008C1EFF"/>
    <w:rsid w:val="008C2872"/>
    <w:rsid w:val="008C2AC6"/>
    <w:rsid w:val="008C4E8E"/>
    <w:rsid w:val="008D08FE"/>
    <w:rsid w:val="008D2A22"/>
    <w:rsid w:val="00901A9B"/>
    <w:rsid w:val="0090619B"/>
    <w:rsid w:val="00906FC9"/>
    <w:rsid w:val="00914F19"/>
    <w:rsid w:val="009314C7"/>
    <w:rsid w:val="00931984"/>
    <w:rsid w:val="00932025"/>
    <w:rsid w:val="00936BEA"/>
    <w:rsid w:val="0094191D"/>
    <w:rsid w:val="00942064"/>
    <w:rsid w:val="00942259"/>
    <w:rsid w:val="0095017E"/>
    <w:rsid w:val="0095128F"/>
    <w:rsid w:val="009519CC"/>
    <w:rsid w:val="00956B0E"/>
    <w:rsid w:val="00961A4B"/>
    <w:rsid w:val="00961FC6"/>
    <w:rsid w:val="009645AB"/>
    <w:rsid w:val="00967FFC"/>
    <w:rsid w:val="009721E3"/>
    <w:rsid w:val="00973141"/>
    <w:rsid w:val="009749F0"/>
    <w:rsid w:val="009765D0"/>
    <w:rsid w:val="00986475"/>
    <w:rsid w:val="00990D1E"/>
    <w:rsid w:val="009911B6"/>
    <w:rsid w:val="009953DC"/>
    <w:rsid w:val="009A2F6C"/>
    <w:rsid w:val="009A3BDB"/>
    <w:rsid w:val="009A508E"/>
    <w:rsid w:val="009A66B0"/>
    <w:rsid w:val="009B2C34"/>
    <w:rsid w:val="009B5E8C"/>
    <w:rsid w:val="009B76EB"/>
    <w:rsid w:val="009C28C0"/>
    <w:rsid w:val="009C305E"/>
    <w:rsid w:val="009E3A98"/>
    <w:rsid w:val="009E4026"/>
    <w:rsid w:val="00A0412D"/>
    <w:rsid w:val="00A054F0"/>
    <w:rsid w:val="00A07CBE"/>
    <w:rsid w:val="00A07FAC"/>
    <w:rsid w:val="00A15290"/>
    <w:rsid w:val="00A16E41"/>
    <w:rsid w:val="00A24FDA"/>
    <w:rsid w:val="00A255D8"/>
    <w:rsid w:val="00A25F61"/>
    <w:rsid w:val="00A410E8"/>
    <w:rsid w:val="00A4667E"/>
    <w:rsid w:val="00A53BAE"/>
    <w:rsid w:val="00A5463F"/>
    <w:rsid w:val="00A60CD2"/>
    <w:rsid w:val="00A71C9C"/>
    <w:rsid w:val="00A82FA1"/>
    <w:rsid w:val="00A926A5"/>
    <w:rsid w:val="00AA0069"/>
    <w:rsid w:val="00AA4D94"/>
    <w:rsid w:val="00AB01BD"/>
    <w:rsid w:val="00AC2369"/>
    <w:rsid w:val="00AC4527"/>
    <w:rsid w:val="00AC79F5"/>
    <w:rsid w:val="00AD01ED"/>
    <w:rsid w:val="00AE2024"/>
    <w:rsid w:val="00AE6757"/>
    <w:rsid w:val="00AF347F"/>
    <w:rsid w:val="00B16967"/>
    <w:rsid w:val="00B2110D"/>
    <w:rsid w:val="00B21FC6"/>
    <w:rsid w:val="00B36CA6"/>
    <w:rsid w:val="00B44610"/>
    <w:rsid w:val="00B456E1"/>
    <w:rsid w:val="00B46E72"/>
    <w:rsid w:val="00B47ECD"/>
    <w:rsid w:val="00B74133"/>
    <w:rsid w:val="00B95934"/>
    <w:rsid w:val="00BA5625"/>
    <w:rsid w:val="00BB2E01"/>
    <w:rsid w:val="00BB7862"/>
    <w:rsid w:val="00BC7D1E"/>
    <w:rsid w:val="00BD0A78"/>
    <w:rsid w:val="00BD0E57"/>
    <w:rsid w:val="00BE488B"/>
    <w:rsid w:val="00BE68C6"/>
    <w:rsid w:val="00BF18D0"/>
    <w:rsid w:val="00BF2A71"/>
    <w:rsid w:val="00BF37B8"/>
    <w:rsid w:val="00BF61F1"/>
    <w:rsid w:val="00BF7A06"/>
    <w:rsid w:val="00C01D51"/>
    <w:rsid w:val="00C07C2D"/>
    <w:rsid w:val="00C145A5"/>
    <w:rsid w:val="00C24E6B"/>
    <w:rsid w:val="00C258CB"/>
    <w:rsid w:val="00C34456"/>
    <w:rsid w:val="00C36831"/>
    <w:rsid w:val="00C400FC"/>
    <w:rsid w:val="00C40382"/>
    <w:rsid w:val="00C41058"/>
    <w:rsid w:val="00C468E3"/>
    <w:rsid w:val="00C46D94"/>
    <w:rsid w:val="00C50169"/>
    <w:rsid w:val="00C55948"/>
    <w:rsid w:val="00C620B4"/>
    <w:rsid w:val="00C70FAA"/>
    <w:rsid w:val="00C764B7"/>
    <w:rsid w:val="00C770D5"/>
    <w:rsid w:val="00C970B2"/>
    <w:rsid w:val="00C97E86"/>
    <w:rsid w:val="00CA5B28"/>
    <w:rsid w:val="00CA62C4"/>
    <w:rsid w:val="00CA6F37"/>
    <w:rsid w:val="00CB001D"/>
    <w:rsid w:val="00CC7B09"/>
    <w:rsid w:val="00CD0503"/>
    <w:rsid w:val="00CD0B7F"/>
    <w:rsid w:val="00CE4AC2"/>
    <w:rsid w:val="00CE6F42"/>
    <w:rsid w:val="00CF777F"/>
    <w:rsid w:val="00D00196"/>
    <w:rsid w:val="00D00B0C"/>
    <w:rsid w:val="00D00E20"/>
    <w:rsid w:val="00D10945"/>
    <w:rsid w:val="00D33371"/>
    <w:rsid w:val="00D36C0F"/>
    <w:rsid w:val="00D414C9"/>
    <w:rsid w:val="00D439CE"/>
    <w:rsid w:val="00D54C09"/>
    <w:rsid w:val="00D56E7E"/>
    <w:rsid w:val="00D577F2"/>
    <w:rsid w:val="00D62FF5"/>
    <w:rsid w:val="00D80D0E"/>
    <w:rsid w:val="00D816AC"/>
    <w:rsid w:val="00D915A7"/>
    <w:rsid w:val="00D9634C"/>
    <w:rsid w:val="00DA17CC"/>
    <w:rsid w:val="00DB01A5"/>
    <w:rsid w:val="00DB1CEA"/>
    <w:rsid w:val="00DB3AB1"/>
    <w:rsid w:val="00DB4C7F"/>
    <w:rsid w:val="00DC70DD"/>
    <w:rsid w:val="00DE1033"/>
    <w:rsid w:val="00DE73E5"/>
    <w:rsid w:val="00DF2A64"/>
    <w:rsid w:val="00DF445A"/>
    <w:rsid w:val="00DF4D19"/>
    <w:rsid w:val="00E01576"/>
    <w:rsid w:val="00E0209D"/>
    <w:rsid w:val="00E0292D"/>
    <w:rsid w:val="00E1442B"/>
    <w:rsid w:val="00E228AD"/>
    <w:rsid w:val="00E334F5"/>
    <w:rsid w:val="00E34905"/>
    <w:rsid w:val="00E36B3D"/>
    <w:rsid w:val="00E40D1B"/>
    <w:rsid w:val="00E41A27"/>
    <w:rsid w:val="00E450F3"/>
    <w:rsid w:val="00E461BD"/>
    <w:rsid w:val="00E509B3"/>
    <w:rsid w:val="00E57FEA"/>
    <w:rsid w:val="00E63940"/>
    <w:rsid w:val="00E64C69"/>
    <w:rsid w:val="00E66E72"/>
    <w:rsid w:val="00E709D4"/>
    <w:rsid w:val="00E72ABD"/>
    <w:rsid w:val="00E83B41"/>
    <w:rsid w:val="00E9018C"/>
    <w:rsid w:val="00E92E95"/>
    <w:rsid w:val="00E93217"/>
    <w:rsid w:val="00EA3591"/>
    <w:rsid w:val="00EB2E53"/>
    <w:rsid w:val="00EB4277"/>
    <w:rsid w:val="00EC0D4F"/>
    <w:rsid w:val="00EC1FA8"/>
    <w:rsid w:val="00EC51BB"/>
    <w:rsid w:val="00EC683F"/>
    <w:rsid w:val="00ED32ED"/>
    <w:rsid w:val="00ED3FA6"/>
    <w:rsid w:val="00ED6A54"/>
    <w:rsid w:val="00EE5270"/>
    <w:rsid w:val="00EE5DAB"/>
    <w:rsid w:val="00F05A52"/>
    <w:rsid w:val="00F15C29"/>
    <w:rsid w:val="00F20300"/>
    <w:rsid w:val="00F226E6"/>
    <w:rsid w:val="00F31FC1"/>
    <w:rsid w:val="00F37896"/>
    <w:rsid w:val="00F40138"/>
    <w:rsid w:val="00F434B1"/>
    <w:rsid w:val="00F463C1"/>
    <w:rsid w:val="00F54135"/>
    <w:rsid w:val="00F6166C"/>
    <w:rsid w:val="00F6278A"/>
    <w:rsid w:val="00F65A8D"/>
    <w:rsid w:val="00F65A96"/>
    <w:rsid w:val="00F7363F"/>
    <w:rsid w:val="00F75D3E"/>
    <w:rsid w:val="00F767C4"/>
    <w:rsid w:val="00F77FE4"/>
    <w:rsid w:val="00F83E1A"/>
    <w:rsid w:val="00F9033E"/>
    <w:rsid w:val="00FB39E9"/>
    <w:rsid w:val="00FB7BDF"/>
    <w:rsid w:val="00FC1385"/>
    <w:rsid w:val="00FC6BBD"/>
    <w:rsid w:val="00FD24F7"/>
    <w:rsid w:val="00FD4D43"/>
    <w:rsid w:val="00FD6659"/>
    <w:rsid w:val="0CC53633"/>
    <w:rsid w:val="1A1BCDB0"/>
    <w:rsid w:val="2C2461F0"/>
    <w:rsid w:val="30AE27C3"/>
    <w:rsid w:val="6F90D69E"/>
    <w:rsid w:val="72D2D39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AA4D8D"/>
  <w15:docId w15:val="{C4CBE30C-31ED-4251-9A08-922D37151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C29"/>
  </w:style>
  <w:style w:type="paragraph" w:styleId="Heading1">
    <w:name w:val="heading 1"/>
    <w:basedOn w:val="Normal"/>
    <w:link w:val="Heading1Char"/>
    <w:uiPriority w:val="9"/>
    <w:qFormat/>
    <w:rsid w:val="00EE5DAB"/>
    <w:pPr>
      <w:widowControl w:val="0"/>
      <w:autoSpaceDE w:val="0"/>
      <w:autoSpaceDN w:val="0"/>
      <w:spacing w:before="81" w:after="0" w:line="240" w:lineRule="auto"/>
      <w:ind w:left="740"/>
      <w:outlineLvl w:val="0"/>
    </w:pPr>
    <w:rPr>
      <w:rFonts w:ascii="Times New Roman" w:eastAsia="Times New Roman" w:hAnsi="Times New Roman" w:cs="Times New Roman"/>
      <w:b/>
      <w:bCs/>
      <w:sz w:val="44"/>
      <w:szCs w:val="44"/>
    </w:rPr>
  </w:style>
  <w:style w:type="paragraph" w:styleId="Heading2">
    <w:name w:val="heading 2"/>
    <w:aliases w:val="Title 02"/>
    <w:basedOn w:val="Normal"/>
    <w:link w:val="Heading2Char"/>
    <w:uiPriority w:val="9"/>
    <w:qFormat/>
    <w:rsid w:val="00EE5DAB"/>
    <w:pPr>
      <w:widowControl w:val="0"/>
      <w:autoSpaceDE w:val="0"/>
      <w:autoSpaceDN w:val="0"/>
      <w:spacing w:before="59" w:after="0" w:line="240" w:lineRule="auto"/>
      <w:ind w:left="740"/>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rsid w:val="00F15C29"/>
    <w:pPr>
      <w:keepNext/>
      <w:spacing w:before="240" w:after="60" w:line="240" w:lineRule="auto"/>
      <w:outlineLvl w:val="2"/>
    </w:pPr>
    <w:rPr>
      <w:rFonts w:ascii="Calibri Light" w:eastAsia="DengXian Light" w:hAnsi="Calibri Light" w:cs="Times New Roman"/>
      <w:b/>
      <w:bCs/>
      <w:sz w:val="26"/>
      <w:szCs w:val="26"/>
      <w:lang w:eastAsia="zh-CN"/>
    </w:rPr>
  </w:style>
  <w:style w:type="paragraph" w:styleId="Heading4">
    <w:name w:val="heading 4"/>
    <w:basedOn w:val="Normal"/>
    <w:next w:val="Normal"/>
    <w:link w:val="Heading4Char"/>
    <w:uiPriority w:val="9"/>
    <w:unhideWhenUsed/>
    <w:qFormat/>
    <w:rsid w:val="00EE5DAB"/>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EE5DAB"/>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EE5DAB"/>
    <w:pPr>
      <w:keepNext/>
      <w:keepLines/>
      <w:widowControl w:val="0"/>
      <w:autoSpaceDE w:val="0"/>
      <w:autoSpaceDN w:val="0"/>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9645AB"/>
    <w:pPr>
      <w:keepNext/>
      <w:keepLines/>
      <w:spacing w:before="40" w:after="0" w:line="256" w:lineRule="auto"/>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9645AB"/>
    <w:pPr>
      <w:keepNext/>
      <w:keepLines/>
      <w:spacing w:before="40" w:after="0" w:line="256"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645AB"/>
    <w:pPr>
      <w:keepNext/>
      <w:keepLines/>
      <w:spacing w:before="40" w:after="0" w:line="256"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15C29"/>
    <w:rPr>
      <w:rFonts w:ascii="Calibri Light" w:eastAsia="DengXian Light" w:hAnsi="Calibri Light" w:cs="Times New Roman"/>
      <w:b/>
      <w:bCs/>
      <w:sz w:val="26"/>
      <w:szCs w:val="26"/>
      <w:lang w:eastAsia="zh-CN"/>
    </w:rPr>
  </w:style>
  <w:style w:type="paragraph" w:styleId="BodyText">
    <w:name w:val="Body Text"/>
    <w:basedOn w:val="Normal"/>
    <w:link w:val="BodyTextChar"/>
    <w:uiPriority w:val="1"/>
    <w:unhideWhenUsed/>
    <w:qFormat/>
    <w:rsid w:val="00F15C29"/>
    <w:pPr>
      <w:widowControl w:val="0"/>
      <w:autoSpaceDE w:val="0"/>
      <w:autoSpaceDN w:val="0"/>
      <w:spacing w:after="0" w:line="240" w:lineRule="auto"/>
      <w:ind w:left="28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15C29"/>
    <w:rPr>
      <w:rFonts w:ascii="Times New Roman" w:eastAsia="Times New Roman" w:hAnsi="Times New Roman" w:cs="Times New Roman"/>
      <w:sz w:val="24"/>
      <w:szCs w:val="24"/>
    </w:rPr>
  </w:style>
  <w:style w:type="table" w:styleId="TableGrid">
    <w:name w:val="Table Grid"/>
    <w:basedOn w:val="TableNormal"/>
    <w:uiPriority w:val="39"/>
    <w:qFormat/>
    <w:rsid w:val="00F15C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rsid w:val="00F15C29"/>
    <w:pPr>
      <w:spacing w:after="0" w:line="240" w:lineRule="auto"/>
    </w:pPr>
    <w:rPr>
      <w:rFonts w:eastAsiaTheme="minorEastAsia"/>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Figures">
    <w:name w:val="Figures"/>
    <w:basedOn w:val="Caption"/>
    <w:next w:val="Caption"/>
    <w:qFormat/>
    <w:rsid w:val="00F15C29"/>
    <w:pPr>
      <w:spacing w:before="100" w:beforeAutospacing="1" w:after="100" w:afterAutospacing="1"/>
      <w:jc w:val="center"/>
    </w:pPr>
    <w:rPr>
      <w:rFonts w:ascii="Times New Roman" w:eastAsia="Times New Roman" w:hAnsi="Times New Roman" w:cs="Times New Roman"/>
      <w:b w:val="0"/>
      <w:iCs/>
      <w:color w:val="000000" w:themeColor="text1"/>
      <w:sz w:val="21"/>
      <w:szCs w:val="21"/>
      <w:lang w:eastAsia="zh-CN"/>
    </w:rPr>
  </w:style>
  <w:style w:type="paragraph" w:customStyle="1" w:styleId="Tables">
    <w:name w:val="Tables"/>
    <w:basedOn w:val="Caption"/>
    <w:next w:val="Caption"/>
    <w:qFormat/>
    <w:rsid w:val="00F15C29"/>
    <w:pPr>
      <w:spacing w:before="100" w:beforeAutospacing="1" w:after="100" w:afterAutospacing="1"/>
      <w:ind w:firstLine="720"/>
      <w:jc w:val="both"/>
    </w:pPr>
    <w:rPr>
      <w:rFonts w:ascii="Times New Roman" w:eastAsia="Times New Roman" w:hAnsi="Times New Roman" w:cs="Times New Roman"/>
      <w:b w:val="0"/>
      <w:bCs w:val="0"/>
      <w:iCs/>
      <w:color w:val="000000" w:themeColor="text1"/>
      <w:sz w:val="21"/>
      <w:lang w:eastAsia="zh-CN"/>
    </w:rPr>
  </w:style>
  <w:style w:type="paragraph" w:styleId="Caption">
    <w:name w:val="caption"/>
    <w:basedOn w:val="Normal"/>
    <w:next w:val="Normal"/>
    <w:uiPriority w:val="35"/>
    <w:unhideWhenUsed/>
    <w:qFormat/>
    <w:rsid w:val="00F15C29"/>
    <w:pPr>
      <w:spacing w:after="200" w:line="240" w:lineRule="auto"/>
    </w:pPr>
    <w:rPr>
      <w:b/>
      <w:bCs/>
      <w:color w:val="5B9BD5" w:themeColor="accent1"/>
      <w:sz w:val="18"/>
      <w:szCs w:val="18"/>
    </w:rPr>
  </w:style>
  <w:style w:type="paragraph" w:styleId="BalloonText">
    <w:name w:val="Balloon Text"/>
    <w:basedOn w:val="Normal"/>
    <w:link w:val="BalloonTextChar"/>
    <w:uiPriority w:val="99"/>
    <w:semiHidden/>
    <w:unhideWhenUsed/>
    <w:rsid w:val="00F15C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5C29"/>
    <w:rPr>
      <w:rFonts w:ascii="Tahoma" w:hAnsi="Tahoma" w:cs="Tahoma"/>
      <w:sz w:val="16"/>
      <w:szCs w:val="16"/>
    </w:rPr>
  </w:style>
  <w:style w:type="character" w:customStyle="1" w:styleId="fontstyle01">
    <w:name w:val="fontstyle01"/>
    <w:basedOn w:val="DefaultParagraphFont"/>
    <w:rsid w:val="00800D36"/>
    <w:rPr>
      <w:rFonts w:ascii="TimesNewRomanPSMT" w:hAnsi="TimesNewRomanPSMT" w:hint="default"/>
      <w:b w:val="0"/>
      <w:bCs w:val="0"/>
      <w:i w:val="0"/>
      <w:iCs w:val="0"/>
      <w:color w:val="000000"/>
      <w:sz w:val="20"/>
      <w:szCs w:val="20"/>
    </w:rPr>
  </w:style>
  <w:style w:type="character" w:styleId="Hyperlink">
    <w:name w:val="Hyperlink"/>
    <w:basedOn w:val="DefaultParagraphFont"/>
    <w:uiPriority w:val="99"/>
    <w:unhideWhenUsed/>
    <w:rsid w:val="00AC4527"/>
    <w:rPr>
      <w:color w:val="0563C1" w:themeColor="hyperlink"/>
      <w:u w:val="single"/>
    </w:rPr>
  </w:style>
  <w:style w:type="paragraph" w:styleId="Header">
    <w:name w:val="header"/>
    <w:basedOn w:val="Normal"/>
    <w:link w:val="HeaderChar"/>
    <w:uiPriority w:val="99"/>
    <w:unhideWhenUsed/>
    <w:rsid w:val="00D001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0196"/>
  </w:style>
  <w:style w:type="paragraph" w:styleId="Footer">
    <w:name w:val="footer"/>
    <w:basedOn w:val="Normal"/>
    <w:link w:val="FooterChar"/>
    <w:uiPriority w:val="99"/>
    <w:unhideWhenUsed/>
    <w:rsid w:val="00D001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0196"/>
  </w:style>
  <w:style w:type="paragraph" w:styleId="NormalWeb">
    <w:name w:val="Normal (Web)"/>
    <w:basedOn w:val="Normal"/>
    <w:uiPriority w:val="99"/>
    <w:unhideWhenUsed/>
    <w:rsid w:val="003357A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ml-x">
    <w:name w:val="html-x"/>
    <w:basedOn w:val="Normal"/>
    <w:rsid w:val="00E334F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tml-italic">
    <w:name w:val="html-italic"/>
    <w:basedOn w:val="DefaultParagraphFont"/>
    <w:rsid w:val="00E334F5"/>
  </w:style>
  <w:style w:type="paragraph" w:customStyle="1" w:styleId="html-xx">
    <w:name w:val="html-xx"/>
    <w:basedOn w:val="Normal"/>
    <w:rsid w:val="00E334F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E334F5"/>
    <w:pPr>
      <w:ind w:left="720"/>
      <w:contextualSpacing/>
    </w:pPr>
  </w:style>
  <w:style w:type="paragraph" w:styleId="Revision">
    <w:name w:val="Revision"/>
    <w:hidden/>
    <w:uiPriority w:val="99"/>
    <w:semiHidden/>
    <w:rsid w:val="00C07C2D"/>
    <w:pPr>
      <w:spacing w:after="0" w:line="240" w:lineRule="auto"/>
    </w:pPr>
  </w:style>
  <w:style w:type="character" w:customStyle="1" w:styleId="UnresolvedMention1">
    <w:name w:val="Unresolved Mention1"/>
    <w:basedOn w:val="DefaultParagraphFont"/>
    <w:uiPriority w:val="99"/>
    <w:semiHidden/>
    <w:unhideWhenUsed/>
    <w:rsid w:val="00EE5DAB"/>
    <w:rPr>
      <w:color w:val="605E5C"/>
      <w:shd w:val="clear" w:color="auto" w:fill="E1DFDD"/>
    </w:rPr>
  </w:style>
  <w:style w:type="character" w:customStyle="1" w:styleId="Heading5Char">
    <w:name w:val="Heading 5 Char"/>
    <w:basedOn w:val="DefaultParagraphFont"/>
    <w:link w:val="Heading5"/>
    <w:uiPriority w:val="9"/>
    <w:rsid w:val="00EE5DAB"/>
    <w:rPr>
      <w:rFonts w:asciiTheme="majorHAnsi" w:eastAsiaTheme="majorEastAsia" w:hAnsiTheme="majorHAnsi" w:cstheme="majorBidi"/>
      <w:color w:val="2E74B5" w:themeColor="accent1" w:themeShade="BF"/>
    </w:rPr>
  </w:style>
  <w:style w:type="character" w:customStyle="1" w:styleId="Heading1Char">
    <w:name w:val="Heading 1 Char"/>
    <w:basedOn w:val="DefaultParagraphFont"/>
    <w:link w:val="Heading1"/>
    <w:uiPriority w:val="9"/>
    <w:rsid w:val="00EE5DAB"/>
    <w:rPr>
      <w:rFonts w:ascii="Times New Roman" w:eastAsia="Times New Roman" w:hAnsi="Times New Roman" w:cs="Times New Roman"/>
      <w:b/>
      <w:bCs/>
      <w:sz w:val="44"/>
      <w:szCs w:val="44"/>
    </w:rPr>
  </w:style>
  <w:style w:type="character" w:customStyle="1" w:styleId="Heading2Char">
    <w:name w:val="Heading 2 Char"/>
    <w:aliases w:val="Title 02 Char"/>
    <w:basedOn w:val="DefaultParagraphFont"/>
    <w:link w:val="Heading2"/>
    <w:uiPriority w:val="9"/>
    <w:rsid w:val="00EE5DAB"/>
    <w:rPr>
      <w:rFonts w:ascii="Times New Roman" w:eastAsia="Times New Roman" w:hAnsi="Times New Roman" w:cs="Times New Roman"/>
      <w:b/>
      <w:bCs/>
      <w:sz w:val="36"/>
      <w:szCs w:val="36"/>
    </w:rPr>
  </w:style>
  <w:style w:type="character" w:customStyle="1" w:styleId="Heading4Char">
    <w:name w:val="Heading 4 Char"/>
    <w:basedOn w:val="DefaultParagraphFont"/>
    <w:link w:val="Heading4"/>
    <w:uiPriority w:val="9"/>
    <w:rsid w:val="00EE5DAB"/>
    <w:rPr>
      <w:rFonts w:asciiTheme="majorHAnsi" w:eastAsiaTheme="majorEastAsia" w:hAnsiTheme="majorHAnsi" w:cstheme="majorBidi"/>
      <w:i/>
      <w:iCs/>
      <w:color w:val="2E74B5" w:themeColor="accent1" w:themeShade="BF"/>
    </w:rPr>
  </w:style>
  <w:style w:type="character" w:customStyle="1" w:styleId="Heading6Char">
    <w:name w:val="Heading 6 Char"/>
    <w:basedOn w:val="DefaultParagraphFont"/>
    <w:link w:val="Heading6"/>
    <w:uiPriority w:val="9"/>
    <w:rsid w:val="00EE5DAB"/>
    <w:rPr>
      <w:rFonts w:asciiTheme="majorHAnsi" w:eastAsiaTheme="majorEastAsia" w:hAnsiTheme="majorHAnsi" w:cstheme="majorBidi"/>
      <w:color w:val="1F4D78" w:themeColor="accent1" w:themeShade="7F"/>
    </w:rPr>
  </w:style>
  <w:style w:type="paragraph" w:customStyle="1" w:styleId="TableParagraph">
    <w:name w:val="Table Paragraph"/>
    <w:basedOn w:val="Normal"/>
    <w:uiPriority w:val="1"/>
    <w:qFormat/>
    <w:rsid w:val="00EE5DAB"/>
    <w:pPr>
      <w:widowControl w:val="0"/>
      <w:autoSpaceDE w:val="0"/>
      <w:autoSpaceDN w:val="0"/>
      <w:spacing w:after="0" w:line="240" w:lineRule="auto"/>
    </w:pPr>
    <w:rPr>
      <w:rFonts w:ascii="Arial MT" w:eastAsia="Arial MT" w:hAnsi="Arial MT" w:cs="Arial MT"/>
    </w:rPr>
  </w:style>
  <w:style w:type="paragraph" w:styleId="z-TopofForm">
    <w:name w:val="HTML Top of Form"/>
    <w:basedOn w:val="Normal"/>
    <w:next w:val="Normal"/>
    <w:link w:val="z-TopofFormChar"/>
    <w:hidden/>
    <w:uiPriority w:val="99"/>
    <w:semiHidden/>
    <w:unhideWhenUsed/>
    <w:rsid w:val="00EE5DA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E5DAB"/>
    <w:rPr>
      <w:rFonts w:ascii="Arial" w:eastAsia="Times New Roman" w:hAnsi="Arial" w:cs="Arial"/>
      <w:vanish/>
      <w:sz w:val="16"/>
      <w:szCs w:val="16"/>
    </w:rPr>
  </w:style>
  <w:style w:type="paragraph" w:styleId="TOC2">
    <w:name w:val="toc 2"/>
    <w:basedOn w:val="Normal"/>
    <w:uiPriority w:val="39"/>
    <w:qFormat/>
    <w:rsid w:val="00EE5DAB"/>
    <w:pPr>
      <w:widowControl w:val="0"/>
      <w:autoSpaceDE w:val="0"/>
      <w:autoSpaceDN w:val="0"/>
      <w:spacing w:before="122" w:after="0" w:line="240" w:lineRule="auto"/>
      <w:ind w:left="1100" w:hanging="360"/>
    </w:pPr>
    <w:rPr>
      <w:rFonts w:ascii="Times New Roman" w:eastAsia="Times New Roman" w:hAnsi="Times New Roman" w:cs="Times New Roman"/>
      <w:sz w:val="24"/>
      <w:szCs w:val="24"/>
    </w:rPr>
  </w:style>
  <w:style w:type="character" w:customStyle="1" w:styleId="nlmarticle-title">
    <w:name w:val="nlm_article-title"/>
    <w:basedOn w:val="DefaultParagraphFont"/>
    <w:rsid w:val="00EE5DAB"/>
  </w:style>
  <w:style w:type="character" w:customStyle="1" w:styleId="nlmfpage">
    <w:name w:val="nlm_fpage"/>
    <w:basedOn w:val="DefaultParagraphFont"/>
    <w:rsid w:val="00EE5DAB"/>
  </w:style>
  <w:style w:type="character" w:customStyle="1" w:styleId="nlmlpage">
    <w:name w:val="nlm_lpage"/>
    <w:basedOn w:val="DefaultParagraphFont"/>
    <w:rsid w:val="00EE5DAB"/>
  </w:style>
  <w:style w:type="character" w:customStyle="1" w:styleId="reflink-block">
    <w:name w:val="reflink-block"/>
    <w:basedOn w:val="DefaultParagraphFont"/>
    <w:rsid w:val="00EE5DAB"/>
  </w:style>
  <w:style w:type="character" w:customStyle="1" w:styleId="xlinks-container">
    <w:name w:val="xlinks-container"/>
    <w:basedOn w:val="DefaultParagraphFont"/>
    <w:rsid w:val="00EE5DAB"/>
  </w:style>
  <w:style w:type="character" w:customStyle="1" w:styleId="googlescholar-container">
    <w:name w:val="googlescholar-container"/>
    <w:basedOn w:val="DefaultParagraphFont"/>
    <w:rsid w:val="00EE5DAB"/>
  </w:style>
  <w:style w:type="character" w:customStyle="1" w:styleId="nlmpub-id">
    <w:name w:val="nlm_pub-id"/>
    <w:basedOn w:val="DefaultParagraphFont"/>
    <w:rsid w:val="00EE5DAB"/>
  </w:style>
  <w:style w:type="paragraph" w:customStyle="1" w:styleId="Style1">
    <w:name w:val="Style1"/>
    <w:basedOn w:val="BodyText"/>
    <w:link w:val="Style1Char"/>
    <w:uiPriority w:val="1"/>
    <w:qFormat/>
    <w:rsid w:val="00EE5DAB"/>
    <w:pPr>
      <w:spacing w:before="182" w:line="501" w:lineRule="auto"/>
      <w:ind w:left="0" w:right="3720" w:hanging="10"/>
    </w:pPr>
    <w:rPr>
      <w:b/>
      <w:bCs/>
      <w:sz w:val="32"/>
      <w:szCs w:val="32"/>
    </w:rPr>
  </w:style>
  <w:style w:type="paragraph" w:styleId="TOCHeading">
    <w:name w:val="TOC Heading"/>
    <w:basedOn w:val="Heading1"/>
    <w:next w:val="Normal"/>
    <w:uiPriority w:val="39"/>
    <w:unhideWhenUsed/>
    <w:qFormat/>
    <w:rsid w:val="00EE5DAB"/>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rPr>
  </w:style>
  <w:style w:type="character" w:customStyle="1" w:styleId="Style1Char">
    <w:name w:val="Style1 Char"/>
    <w:basedOn w:val="BodyTextChar"/>
    <w:link w:val="Style1"/>
    <w:uiPriority w:val="1"/>
    <w:rsid w:val="00EE5DAB"/>
    <w:rPr>
      <w:rFonts w:ascii="Times New Roman" w:eastAsia="Times New Roman" w:hAnsi="Times New Roman" w:cs="Times New Roman"/>
      <w:b/>
      <w:bCs/>
      <w:sz w:val="32"/>
      <w:szCs w:val="32"/>
    </w:rPr>
  </w:style>
  <w:style w:type="paragraph" w:styleId="TOC1">
    <w:name w:val="toc 1"/>
    <w:basedOn w:val="Normal"/>
    <w:next w:val="Normal"/>
    <w:autoRedefine/>
    <w:uiPriority w:val="39"/>
    <w:unhideWhenUsed/>
    <w:rsid w:val="00EE5DAB"/>
    <w:pPr>
      <w:widowControl w:val="0"/>
      <w:tabs>
        <w:tab w:val="right" w:leader="dot" w:pos="10480"/>
      </w:tabs>
      <w:autoSpaceDE w:val="0"/>
      <w:autoSpaceDN w:val="0"/>
      <w:spacing w:after="100" w:line="240" w:lineRule="auto"/>
    </w:pPr>
    <w:rPr>
      <w:rFonts w:asciiTheme="majorBidi" w:eastAsia="Arial MT" w:hAnsiTheme="majorBidi" w:cstheme="majorBidi"/>
      <w:b/>
      <w:bCs/>
      <w:noProof/>
    </w:rPr>
  </w:style>
  <w:style w:type="paragraph" w:styleId="TOC3">
    <w:name w:val="toc 3"/>
    <w:basedOn w:val="Normal"/>
    <w:next w:val="Normal"/>
    <w:autoRedefine/>
    <w:uiPriority w:val="39"/>
    <w:unhideWhenUsed/>
    <w:rsid w:val="00EE5DAB"/>
    <w:pPr>
      <w:widowControl w:val="0"/>
      <w:tabs>
        <w:tab w:val="left" w:pos="1100"/>
        <w:tab w:val="right" w:leader="dot" w:pos="10480"/>
      </w:tabs>
      <w:autoSpaceDE w:val="0"/>
      <w:autoSpaceDN w:val="0"/>
      <w:spacing w:after="100" w:line="240" w:lineRule="auto"/>
      <w:ind w:left="440"/>
    </w:pPr>
    <w:rPr>
      <w:rFonts w:asciiTheme="majorBidi" w:eastAsia="Arial MT" w:hAnsiTheme="majorBidi" w:cs="Arial MT"/>
      <w:b/>
      <w:bCs/>
      <w:noProof/>
    </w:rPr>
  </w:style>
  <w:style w:type="character" w:styleId="Emphasis">
    <w:name w:val="Emphasis"/>
    <w:basedOn w:val="DefaultParagraphFont"/>
    <w:uiPriority w:val="20"/>
    <w:qFormat/>
    <w:rsid w:val="00EE5DAB"/>
    <w:rPr>
      <w:i/>
      <w:iCs/>
    </w:rPr>
  </w:style>
  <w:style w:type="character" w:styleId="CommentReference">
    <w:name w:val="annotation reference"/>
    <w:basedOn w:val="DefaultParagraphFont"/>
    <w:uiPriority w:val="99"/>
    <w:semiHidden/>
    <w:unhideWhenUsed/>
    <w:rsid w:val="00EE5DAB"/>
    <w:rPr>
      <w:sz w:val="16"/>
      <w:szCs w:val="16"/>
    </w:rPr>
  </w:style>
  <w:style w:type="paragraph" w:styleId="CommentText">
    <w:name w:val="annotation text"/>
    <w:basedOn w:val="Normal"/>
    <w:link w:val="CommentTextChar"/>
    <w:uiPriority w:val="99"/>
    <w:semiHidden/>
    <w:unhideWhenUsed/>
    <w:rsid w:val="00EE5DAB"/>
    <w:pPr>
      <w:widowControl w:val="0"/>
      <w:autoSpaceDE w:val="0"/>
      <w:autoSpaceDN w:val="0"/>
      <w:spacing w:after="0" w:line="240" w:lineRule="auto"/>
    </w:pPr>
    <w:rPr>
      <w:rFonts w:ascii="Arial MT" w:eastAsia="Arial MT" w:hAnsi="Arial MT" w:cs="Arial MT"/>
      <w:sz w:val="20"/>
      <w:szCs w:val="20"/>
    </w:rPr>
  </w:style>
  <w:style w:type="character" w:customStyle="1" w:styleId="CommentTextChar">
    <w:name w:val="Comment Text Char"/>
    <w:basedOn w:val="DefaultParagraphFont"/>
    <w:link w:val="CommentText"/>
    <w:uiPriority w:val="99"/>
    <w:semiHidden/>
    <w:rsid w:val="00EE5DAB"/>
    <w:rPr>
      <w:rFonts w:ascii="Arial MT" w:eastAsia="Arial MT" w:hAnsi="Arial MT" w:cs="Arial MT"/>
      <w:sz w:val="20"/>
      <w:szCs w:val="20"/>
    </w:rPr>
  </w:style>
  <w:style w:type="paragraph" w:styleId="CommentSubject">
    <w:name w:val="annotation subject"/>
    <w:basedOn w:val="CommentText"/>
    <w:next w:val="CommentText"/>
    <w:link w:val="CommentSubjectChar"/>
    <w:uiPriority w:val="99"/>
    <w:semiHidden/>
    <w:unhideWhenUsed/>
    <w:rsid w:val="00EE5DAB"/>
    <w:rPr>
      <w:b/>
      <w:bCs/>
    </w:rPr>
  </w:style>
  <w:style w:type="character" w:customStyle="1" w:styleId="CommentSubjectChar">
    <w:name w:val="Comment Subject Char"/>
    <w:basedOn w:val="CommentTextChar"/>
    <w:link w:val="CommentSubject"/>
    <w:uiPriority w:val="99"/>
    <w:semiHidden/>
    <w:rsid w:val="00EE5DAB"/>
    <w:rPr>
      <w:rFonts w:ascii="Arial MT" w:eastAsia="Arial MT" w:hAnsi="Arial MT" w:cs="Arial MT"/>
      <w:b/>
      <w:bCs/>
      <w:sz w:val="20"/>
      <w:szCs w:val="20"/>
    </w:rPr>
  </w:style>
  <w:style w:type="paragraph" w:customStyle="1" w:styleId="MDPI12title">
    <w:name w:val="MDPI_1.2_title"/>
    <w:next w:val="Normal"/>
    <w:qFormat/>
    <w:rsid w:val="001E6653"/>
    <w:pPr>
      <w:adjustRightInd w:val="0"/>
      <w:snapToGrid w:val="0"/>
      <w:spacing w:after="240" w:line="240" w:lineRule="atLeast"/>
    </w:pPr>
    <w:rPr>
      <w:rFonts w:ascii="Palatino Linotype" w:eastAsia="Times New Roman" w:hAnsi="Palatino Linotype" w:cs="Times New Roman"/>
      <w:b/>
      <w:snapToGrid w:val="0"/>
      <w:color w:val="000000"/>
      <w:sz w:val="36"/>
      <w:szCs w:val="20"/>
      <w:lang w:eastAsia="de-DE" w:bidi="en-US"/>
    </w:rPr>
  </w:style>
  <w:style w:type="paragraph" w:customStyle="1" w:styleId="MDPI13authornames">
    <w:name w:val="MDPI_1.3_authornames"/>
    <w:next w:val="Normal"/>
    <w:qFormat/>
    <w:rsid w:val="001E6653"/>
    <w:pPr>
      <w:adjustRightInd w:val="0"/>
      <w:snapToGrid w:val="0"/>
      <w:spacing w:after="360" w:line="260" w:lineRule="atLeast"/>
    </w:pPr>
    <w:rPr>
      <w:rFonts w:ascii="Palatino Linotype" w:eastAsia="Times New Roman" w:hAnsi="Palatino Linotype" w:cs="Times New Roman"/>
      <w:b/>
      <w:color w:val="000000"/>
      <w:sz w:val="20"/>
      <w:lang w:eastAsia="de-DE" w:bidi="en-US"/>
    </w:rPr>
  </w:style>
  <w:style w:type="paragraph" w:customStyle="1" w:styleId="MDPI16affiliation">
    <w:name w:val="MDPI_1.6_affiliation"/>
    <w:qFormat/>
    <w:rsid w:val="001E6653"/>
    <w:pPr>
      <w:adjustRightInd w:val="0"/>
      <w:snapToGrid w:val="0"/>
      <w:spacing w:after="0" w:line="200" w:lineRule="atLeast"/>
      <w:ind w:left="2806" w:hanging="198"/>
    </w:pPr>
    <w:rPr>
      <w:rFonts w:ascii="Palatino Linotype" w:eastAsia="Times New Roman" w:hAnsi="Palatino Linotype" w:cs="Times New Roman"/>
      <w:color w:val="000000"/>
      <w:sz w:val="16"/>
      <w:szCs w:val="18"/>
      <w:lang w:eastAsia="de-DE" w:bidi="en-US"/>
    </w:rPr>
  </w:style>
  <w:style w:type="paragraph" w:customStyle="1" w:styleId="Papertiltle">
    <w:name w:val="Paper tiltle"/>
    <w:basedOn w:val="Normal"/>
    <w:link w:val="PapertiltleChar"/>
    <w:qFormat/>
    <w:rsid w:val="009645AB"/>
    <w:pPr>
      <w:spacing w:after="360" w:line="360" w:lineRule="auto"/>
      <w:jc w:val="center"/>
    </w:pPr>
    <w:rPr>
      <w:rFonts w:ascii="Times New Roman" w:hAnsi="Times New Roman" w:cs="Times New Roman"/>
      <w:b/>
      <w:sz w:val="32"/>
      <w:szCs w:val="36"/>
    </w:rPr>
  </w:style>
  <w:style w:type="character" w:customStyle="1" w:styleId="PapertiltleChar">
    <w:name w:val="Paper tiltle Char"/>
    <w:basedOn w:val="DefaultParagraphFont"/>
    <w:link w:val="Papertiltle"/>
    <w:rsid w:val="009645AB"/>
    <w:rPr>
      <w:rFonts w:ascii="Times New Roman" w:hAnsi="Times New Roman" w:cs="Times New Roman"/>
      <w:b/>
      <w:sz w:val="32"/>
      <w:szCs w:val="36"/>
    </w:rPr>
  </w:style>
  <w:style w:type="paragraph" w:customStyle="1" w:styleId="ABBSTRACTB">
    <w:name w:val="ABBSTRACTB"/>
    <w:basedOn w:val="Normal"/>
    <w:link w:val="ABBSTRACTBChar"/>
    <w:qFormat/>
    <w:rsid w:val="009645AB"/>
    <w:pPr>
      <w:spacing w:line="220" w:lineRule="exact"/>
      <w:jc w:val="both"/>
    </w:pPr>
    <w:rPr>
      <w:rFonts w:ascii="Times New Roman" w:hAnsi="Times New Roman"/>
      <w:sz w:val="15"/>
    </w:rPr>
  </w:style>
  <w:style w:type="character" w:customStyle="1" w:styleId="ABBSTRACTBChar">
    <w:name w:val="ABBSTRACTB Char"/>
    <w:basedOn w:val="DefaultParagraphFont"/>
    <w:link w:val="ABBSTRACTB"/>
    <w:rsid w:val="009645AB"/>
    <w:rPr>
      <w:rFonts w:ascii="Times New Roman" w:hAnsi="Times New Roman"/>
      <w:sz w:val="15"/>
    </w:rPr>
  </w:style>
  <w:style w:type="paragraph" w:customStyle="1" w:styleId="paperbody">
    <w:name w:val="paper body"/>
    <w:basedOn w:val="Normal"/>
    <w:link w:val="paperbodyChar"/>
    <w:qFormat/>
    <w:rsid w:val="009645AB"/>
    <w:pPr>
      <w:spacing w:after="120" w:line="220" w:lineRule="exact"/>
      <w:jc w:val="both"/>
    </w:pPr>
    <w:rPr>
      <w:rFonts w:ascii="Times New Roman" w:hAnsi="Times New Roman"/>
      <w:color w:val="000000" w:themeColor="text1"/>
      <w:sz w:val="16"/>
    </w:rPr>
  </w:style>
  <w:style w:type="character" w:customStyle="1" w:styleId="paperbodyChar">
    <w:name w:val="paper body Char"/>
    <w:basedOn w:val="DefaultParagraphFont"/>
    <w:link w:val="paperbody"/>
    <w:rsid w:val="009645AB"/>
    <w:rPr>
      <w:rFonts w:ascii="Times New Roman" w:hAnsi="Times New Roman"/>
      <w:color w:val="000000" w:themeColor="text1"/>
      <w:sz w:val="16"/>
    </w:rPr>
  </w:style>
  <w:style w:type="paragraph" w:customStyle="1" w:styleId="Table">
    <w:name w:val="Table"/>
    <w:basedOn w:val="paperbody"/>
    <w:link w:val="TableChar"/>
    <w:qFormat/>
    <w:rsid w:val="009645AB"/>
    <w:pPr>
      <w:spacing w:after="0" w:line="240" w:lineRule="atLeast"/>
      <w:jc w:val="center"/>
    </w:pPr>
    <w:rPr>
      <w:b/>
    </w:rPr>
  </w:style>
  <w:style w:type="character" w:customStyle="1" w:styleId="TableChar">
    <w:name w:val="Table Char"/>
    <w:basedOn w:val="paperbodyChar"/>
    <w:link w:val="Table"/>
    <w:rsid w:val="009645AB"/>
    <w:rPr>
      <w:rFonts w:ascii="Times New Roman" w:hAnsi="Times New Roman"/>
      <w:b/>
      <w:color w:val="000000" w:themeColor="text1"/>
      <w:sz w:val="16"/>
    </w:rPr>
  </w:style>
  <w:style w:type="character" w:customStyle="1" w:styleId="Heading7Char">
    <w:name w:val="Heading 7 Char"/>
    <w:basedOn w:val="DefaultParagraphFont"/>
    <w:link w:val="Heading7"/>
    <w:uiPriority w:val="9"/>
    <w:semiHidden/>
    <w:rsid w:val="009645AB"/>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9645A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645AB"/>
    <w:rPr>
      <w:rFonts w:asciiTheme="majorHAnsi" w:eastAsiaTheme="majorEastAsia" w:hAnsiTheme="majorHAnsi" w:cstheme="majorBidi"/>
      <w:i/>
      <w:iCs/>
      <w:color w:val="272727" w:themeColor="text1" w:themeTint="D8"/>
      <w:sz w:val="21"/>
      <w:szCs w:val="21"/>
    </w:rPr>
  </w:style>
  <w:style w:type="paragraph" w:customStyle="1" w:styleId="ABTRACT">
    <w:name w:val="ABTRACT"/>
    <w:basedOn w:val="Normal"/>
    <w:link w:val="ABTRACTChar"/>
    <w:qFormat/>
    <w:rsid w:val="009645AB"/>
    <w:pPr>
      <w:spacing w:after="240" w:line="240" w:lineRule="auto"/>
    </w:pPr>
    <w:rPr>
      <w:b/>
      <w:i/>
      <w:spacing w:val="40"/>
      <w:sz w:val="18"/>
    </w:rPr>
  </w:style>
  <w:style w:type="character" w:customStyle="1" w:styleId="ABTRACTChar">
    <w:name w:val="ABTRACT Char"/>
    <w:basedOn w:val="DefaultParagraphFont"/>
    <w:link w:val="ABTRACT"/>
    <w:rsid w:val="009645AB"/>
    <w:rPr>
      <w:b/>
      <w:i/>
      <w:spacing w:val="40"/>
      <w:sz w:val="18"/>
    </w:rPr>
  </w:style>
  <w:style w:type="character" w:customStyle="1" w:styleId="HeaderChar1">
    <w:name w:val="Header Char1"/>
    <w:basedOn w:val="DefaultParagraphFont"/>
    <w:uiPriority w:val="99"/>
    <w:semiHidden/>
    <w:rsid w:val="009645AB"/>
  </w:style>
  <w:style w:type="paragraph" w:styleId="Bibliography">
    <w:name w:val="Bibliography"/>
    <w:basedOn w:val="Normal"/>
    <w:next w:val="Normal"/>
    <w:uiPriority w:val="37"/>
    <w:unhideWhenUsed/>
    <w:rsid w:val="009645AB"/>
    <w:pPr>
      <w:spacing w:after="0" w:line="480" w:lineRule="auto"/>
      <w:ind w:left="720" w:hanging="720"/>
    </w:pPr>
  </w:style>
  <w:style w:type="character" w:customStyle="1" w:styleId="UnresolvedMention2">
    <w:name w:val="Unresolved Mention2"/>
    <w:basedOn w:val="DefaultParagraphFont"/>
    <w:uiPriority w:val="99"/>
    <w:semiHidden/>
    <w:unhideWhenUsed/>
    <w:rsid w:val="00ED6A54"/>
    <w:rPr>
      <w:color w:val="605E5C"/>
      <w:shd w:val="clear" w:color="auto" w:fill="E1DFDD"/>
    </w:rPr>
  </w:style>
  <w:style w:type="character" w:styleId="FollowedHyperlink">
    <w:name w:val="FollowedHyperlink"/>
    <w:basedOn w:val="DefaultParagraphFont"/>
    <w:uiPriority w:val="99"/>
    <w:semiHidden/>
    <w:unhideWhenUsed/>
    <w:rsid w:val="00ED6A54"/>
    <w:rPr>
      <w:color w:val="954F72" w:themeColor="followedHyperlink"/>
      <w:u w:val="single"/>
    </w:rPr>
  </w:style>
  <w:style w:type="character" w:customStyle="1" w:styleId="Heading2Char1">
    <w:name w:val="Heading 2 Char1"/>
    <w:aliases w:val="Title 02 Char1"/>
    <w:basedOn w:val="DefaultParagraphFont"/>
    <w:uiPriority w:val="9"/>
    <w:semiHidden/>
    <w:rsid w:val="00ED6A54"/>
    <w:rPr>
      <w:rFonts w:asciiTheme="majorHAnsi" w:eastAsiaTheme="majorEastAsia" w:hAnsiTheme="majorHAnsi" w:cstheme="majorBidi"/>
      <w:color w:val="2E74B5" w:themeColor="accent1" w:themeShade="BF"/>
      <w:kern w:val="2"/>
      <w:sz w:val="26"/>
      <w:szCs w:val="26"/>
      <w14:ligatures w14:val="standardContextual"/>
    </w:rPr>
  </w:style>
  <w:style w:type="paragraph" w:customStyle="1" w:styleId="msonormal0">
    <w:name w:val="msonormal"/>
    <w:basedOn w:val="Normal"/>
    <w:rsid w:val="00ED6A54"/>
    <w:pPr>
      <w:spacing w:before="100" w:beforeAutospacing="1" w:after="100" w:afterAutospacing="1" w:line="240" w:lineRule="auto"/>
    </w:pPr>
    <w:rPr>
      <w:rFonts w:ascii="Times New Roman" w:eastAsia="Times New Roman" w:hAnsi="Times New Roman" w:cs="Times New Roman"/>
      <w:sz w:val="24"/>
      <w:szCs w:val="24"/>
    </w:rPr>
  </w:style>
  <w:style w:type="table" w:styleId="PlainTable2">
    <w:name w:val="Plain Table 2"/>
    <w:basedOn w:val="TableNormal"/>
    <w:uiPriority w:val="42"/>
    <w:rsid w:val="00ED6A54"/>
    <w:pPr>
      <w:spacing w:after="0" w:line="240" w:lineRule="auto"/>
    </w:pPr>
    <w:rPr>
      <w:kern w:val="2"/>
      <w:lang w:val="en-GB"/>
      <w14:ligatures w14:val="standardContextual"/>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ED6A54"/>
    <w:pPr>
      <w:spacing w:after="0" w:line="240" w:lineRule="auto"/>
    </w:pPr>
    <w:rPr>
      <w:kern w:val="2"/>
      <w:lang w:val="en-GB"/>
      <w14:ligatures w14:val="standardContextual"/>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ndNoteBibliography">
    <w:name w:val="EndNote Bibliography"/>
    <w:basedOn w:val="Normal"/>
    <w:link w:val="EndNoteBibliographyChar"/>
    <w:rsid w:val="00E450F3"/>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E450F3"/>
    <w:rPr>
      <w:rFonts w:ascii="Calibri" w:hAnsi="Calibri" w:cs="Calibri"/>
      <w:noProof/>
    </w:rPr>
  </w:style>
  <w:style w:type="paragraph" w:customStyle="1" w:styleId="EndNoteBibliographyTitle">
    <w:name w:val="EndNote Bibliography Title"/>
    <w:basedOn w:val="Normal"/>
    <w:link w:val="EndNoteBibliographyTitleChar"/>
    <w:rsid w:val="00E450F3"/>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E450F3"/>
    <w:rPr>
      <w:rFonts w:ascii="Calibri" w:hAnsi="Calibri" w:cs="Calibri"/>
      <w:noProof/>
    </w:rPr>
  </w:style>
  <w:style w:type="character" w:customStyle="1" w:styleId="ListParagraphChar">
    <w:name w:val="List Paragraph Char"/>
    <w:basedOn w:val="DefaultParagraphFont"/>
    <w:link w:val="ListParagraph"/>
    <w:uiPriority w:val="34"/>
    <w:rsid w:val="002564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5342">
      <w:bodyDiv w:val="1"/>
      <w:marLeft w:val="0"/>
      <w:marRight w:val="0"/>
      <w:marTop w:val="0"/>
      <w:marBottom w:val="0"/>
      <w:divBdr>
        <w:top w:val="none" w:sz="0" w:space="0" w:color="auto"/>
        <w:left w:val="none" w:sz="0" w:space="0" w:color="auto"/>
        <w:bottom w:val="none" w:sz="0" w:space="0" w:color="auto"/>
        <w:right w:val="none" w:sz="0" w:space="0" w:color="auto"/>
      </w:divBdr>
    </w:div>
    <w:div w:id="768311260">
      <w:bodyDiv w:val="1"/>
      <w:marLeft w:val="0"/>
      <w:marRight w:val="0"/>
      <w:marTop w:val="0"/>
      <w:marBottom w:val="0"/>
      <w:divBdr>
        <w:top w:val="none" w:sz="0" w:space="0" w:color="auto"/>
        <w:left w:val="none" w:sz="0" w:space="0" w:color="auto"/>
        <w:bottom w:val="none" w:sz="0" w:space="0" w:color="auto"/>
        <w:right w:val="none" w:sz="0" w:space="0" w:color="auto"/>
      </w:divBdr>
    </w:div>
    <w:div w:id="915823701">
      <w:bodyDiv w:val="1"/>
      <w:marLeft w:val="0"/>
      <w:marRight w:val="0"/>
      <w:marTop w:val="0"/>
      <w:marBottom w:val="0"/>
      <w:divBdr>
        <w:top w:val="none" w:sz="0" w:space="0" w:color="auto"/>
        <w:left w:val="none" w:sz="0" w:space="0" w:color="auto"/>
        <w:bottom w:val="none" w:sz="0" w:space="0" w:color="auto"/>
        <w:right w:val="none" w:sz="0" w:space="0" w:color="auto"/>
      </w:divBdr>
    </w:div>
    <w:div w:id="1849129291">
      <w:bodyDiv w:val="1"/>
      <w:marLeft w:val="0"/>
      <w:marRight w:val="0"/>
      <w:marTop w:val="0"/>
      <w:marBottom w:val="0"/>
      <w:divBdr>
        <w:top w:val="none" w:sz="0" w:space="0" w:color="auto"/>
        <w:left w:val="none" w:sz="0" w:space="0" w:color="auto"/>
        <w:bottom w:val="none" w:sz="0" w:space="0" w:color="auto"/>
        <w:right w:val="none" w:sz="0" w:space="0" w:color="auto"/>
      </w:divBdr>
    </w:div>
    <w:div w:id="1899197706">
      <w:bodyDiv w:val="1"/>
      <w:marLeft w:val="0"/>
      <w:marRight w:val="0"/>
      <w:marTop w:val="0"/>
      <w:marBottom w:val="0"/>
      <w:divBdr>
        <w:top w:val="none" w:sz="0" w:space="0" w:color="auto"/>
        <w:left w:val="none" w:sz="0" w:space="0" w:color="auto"/>
        <w:bottom w:val="none" w:sz="0" w:space="0" w:color="auto"/>
        <w:right w:val="none" w:sz="0" w:space="0" w:color="auto"/>
      </w:divBdr>
    </w:div>
    <w:div w:id="1977293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jpg"/><Relationship Id="rId28" Type="http://schemas.openxmlformats.org/officeDocument/2006/relationships/image" Target="media/image19.jpeg"/><Relationship Id="rId10" Type="http://schemas.openxmlformats.org/officeDocument/2006/relationships/hyperlink" Target="mailto:muhammad.miandad@uog.edu.pk" TargetMode="External"/><Relationship Id="rId19" Type="http://schemas.openxmlformats.org/officeDocument/2006/relationships/image" Target="media/image11.pn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 Id="rId30" Type="http://schemas.openxmlformats.org/officeDocument/2006/relationships/image" Target="media/image21.jpeg"/><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1858ECDA-15F4-41DA-AE23-5D05EBAC88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4489</Words>
  <Characters>25591</Characters>
  <Application>Microsoft Office Word</Application>
  <DocSecurity>0</DocSecurity>
  <Lines>213</Lines>
  <Paragraphs>60</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
      <vt:lpstr/>
      <vt:lpstr/>
      <vt:lpstr/>
      <vt:lpstr/>
      <vt:lpstr/>
      <vt:lpstr/>
      <vt:lpstr/>
      <vt:lpstr>Introduction:</vt:lpstr>
    </vt:vector>
  </TitlesOfParts>
  <Company/>
  <LinksUpToDate>false</LinksUpToDate>
  <CharactersWithSpaces>30020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ZH</dc:creator>
  <cp:lastModifiedBy>ZH</cp:lastModifiedBy>
  <cp:revision>58</cp:revision>
  <cp:lastPrinted>2024-09-05T21:08:00Z</cp:lastPrinted>
  <dcterms:created xsi:type="dcterms:W3CDTF">2024-07-23T07:25:00Z</dcterms:created>
  <dcterms:modified xsi:type="dcterms:W3CDTF">2026-08-25T08:12:00Z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fbea7ec1-4981-33bd-be53-13675926e2c9</vt:lpwstr>
  </property>
  <property fmtid="{D5CDD505-2E9C-101B-9397-08002B2CF9AE}" pid="24" name="Mendeley Citation Style_1">
    <vt:lpwstr>http://www.zotero.org/styles/ieee</vt:lpwstr>
  </property>
  <property fmtid="{D5CDD505-2E9C-101B-9397-08002B2CF9AE}" pid="25" name="GrammarlyDocumentId">
    <vt:lpwstr>ac628b6a9b6abcc6d85ff448484f3aee0349863ae028f991e0c2f37c3ccb3f1a</vt:lpwstr>
  </property>
</Properties>
</file>